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Times New Roman"/>
          <w:b/>
          <w:i w:val="false"/>
          <w:color w:val="0B2545"/>
          <w:sz w:val="40"/>
        </w:rPr>
        <w:t>Aspects juridiques et cadre légal</w:t>
      </w:r>
    </w:p>
    <w:p>
      <w:pPr>
        <w:pStyle w:val="Normal"/>
        <w:spacing w:lineRule="auto" w:line="276" w:before="0" w:after="120"/>
        <w:rPr/>
      </w:pPr>
      <w:r>
        <w:rPr/>
        <w:t>Ce document présente les principaux aspects juridiques à prendre en compte pour l'application Ultimate DJ. Il ne remplace pas un avis juridique professionnel. Son objectif est de montrer comment le projet intègre le droit applicable à une application Web belge : protection des données, cookies et autres traceurs, e-commerce, contrats, paiements, droit d'auteur, vie privée, responsabilité et contenus publiés.</w:t>
      </w:r>
    </w:p>
    <w:p>
      <w:pPr>
        <w:pStyle w:val="Heading1"/>
        <w:spacing w:before="200" w:after="80"/>
        <w:rPr/>
      </w:pPr>
      <w:r>
        <w:rPr/>
        <w:t>1. Périmètre juridique et rôle d'Ultimate DJ</w:t>
      </w:r>
    </w:p>
    <w:p>
      <w:pPr>
        <w:pStyle w:val="Normal"/>
        <w:spacing w:lineRule="auto" w:line="276" w:before="0" w:after="120"/>
        <w:rPr/>
      </w:pPr>
      <w:r>
        <w:rPr/>
        <w:t>Ultimate DJ est conçu comme une plateforme numérique d'intermédiation et de gestion administrative entre un client et un DJ indépendant. La plateforme centralise les demandes de devis, l'affectation d'un DJ, les documents, les échanges, les rendez-vous, le suivi des paiements et l'historique du dossier. Elle ne devient pas pour autant automatiquement l'employeur du DJ ni l'organisateur de l'événement.</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eastAsia="Times New Roman" w:cs=""/>
                <w:b/>
                <w:i w:val="false"/>
                <w:kern w:val="0"/>
                <w:sz w:val="20"/>
                <w:szCs w:val="22"/>
                <w:lang w:val="en-US" w:eastAsia="en-US" w:bidi="ar-SA"/>
              </w:rPr>
              <w:t>Domaine</w:t>
            </w:r>
          </w:p>
        </w:tc>
        <w:tc>
          <w:tcPr>
            <w:tcW w:w="3135"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eastAsia="Times New Roman" w:cs=""/>
                <w:b/>
                <w:i w:val="false"/>
                <w:kern w:val="0"/>
                <w:sz w:val="20"/>
                <w:szCs w:val="22"/>
                <w:lang w:val="en-US" w:eastAsia="en-US" w:bidi="ar-SA"/>
              </w:rPr>
              <w:t>Application à Ultimate DJ</w:t>
            </w:r>
          </w:p>
        </w:tc>
        <w:tc>
          <w:tcPr>
            <w:tcW w:w="3135"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eastAsia="Times New Roman" w:cs=""/>
                <w:b/>
                <w:i w:val="false"/>
                <w:kern w:val="0"/>
                <w:sz w:val="20"/>
                <w:szCs w:val="22"/>
                <w:lang w:val="en-US" w:eastAsia="en-US" w:bidi="ar-SA"/>
              </w:rPr>
              <w:t>Risque si non respecté</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Droit d’Internet</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Publication d’un site, informations en ligne, responsabilité du contenu.</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Manque de transparence ou diffusion d’informations trompeuses.</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Données personnelles</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Compte client, profil, adresse, téléphone, date de naissance, réservations.</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Atteinte à la vie privée, plainte auprès de l’APD, sanctions RGPD.</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Cookies</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Session, sécurité, préférence de langue, statistiques, publicité.</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Consentement invalide ou information insuffisante.</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E-commerce</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Devis, acompte, contrat, facture, annulation, paiement Stripe.</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Litige client, conditions générales insuffisantes.</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Droit d’auteur</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Logo, images, textes, musiques, playlists, photos d’événements.</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Réutilisation non autorisée d’œuvres protégées.</w:t>
            </w:r>
          </w:p>
        </w:tc>
      </w:tr>
      <w:tr>
        <w:trPr/>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Responsabilité</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Avis clients, informations publiées, contenu transmis par les utilisateurs.</w:t>
            </w:r>
          </w:p>
        </w:tc>
        <w:tc>
          <w:tcPr>
            <w:tcW w:w="3135" w:type="dxa"/>
            <w:tcBorders/>
            <w:vAlign w:val="center"/>
          </w:tcPr>
          <w:p>
            <w:pPr>
              <w:pStyle w:val="Normal"/>
              <w:widowControl/>
              <w:spacing w:lineRule="auto" w:line="252" w:before="0" w:after="0"/>
              <w:jc w:val="start"/>
              <w:rPr>
                <w:rFonts w:cs=""/>
                <w:kern w:val="0"/>
                <w:szCs w:val="22"/>
                <w:lang w:val="en-US" w:eastAsia="en-US" w:bidi="ar-SA"/>
              </w:rPr>
            </w:pPr>
            <w:r>
              <w:rPr>
                <w:rFonts w:eastAsia="Times New Roman" w:cs=""/>
                <w:b w:val="false"/>
                <w:i w:val="false"/>
                <w:kern w:val="0"/>
                <w:sz w:val="20"/>
                <w:szCs w:val="22"/>
                <w:lang w:val="en-US" w:eastAsia="en-US" w:bidi="ar-SA"/>
              </w:rPr>
              <w:t>Responsabilité en cas de contenu illicite ou non modéré.</w:t>
            </w:r>
          </w:p>
        </w:tc>
      </w:tr>
    </w:tbl>
    <w:p>
      <w:pPr>
        <w:pStyle w:val="Normal"/>
        <w:rPr/>
      </w:pPr>
      <w:r>
        <w:rPr/>
      </w:r>
    </w:p>
    <w:p>
      <w:pPr>
        <w:pStyle w:val="Normal"/>
        <w:rPr/>
      </w:pPr>
      <w:r>
        <w:rPr/>
        <w:t>Le modèle retenu doit être rendu explicite dans les conditions de prestation. Le DJ désigné réalise la prestation musicale et reste responsable de son exécution professionnelle. Ultimate DJ agit comme intermédiaire numérique et comme mandataire de paiement limité lorsque les fonds sont encaissés via la plateforme. Le contrat doit identifier sans ambiguïté le client, le DJ prestataire et le rôle de la plateforme.</w:t>
      </w:r>
    </w:p>
    <w:tbl>
      <w:tblPr>
        <w:tblStyle w:val="TableGrid"/>
        <w:tblW w:w="940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tcPr>
          <w:p>
            <w:pPr>
              <w:pStyle w:val="Normal"/>
              <w:widowControl/>
              <w:spacing w:before="0" w:after="0"/>
              <w:jc w:val="start"/>
              <w:rPr>
                <w:rFonts w:cs=""/>
                <w:kern w:val="0"/>
                <w:szCs w:val="22"/>
                <w:lang w:val="en-US" w:eastAsia="en-US" w:bidi="ar-SA"/>
              </w:rPr>
            </w:pPr>
            <w:r>
              <w:rPr>
                <w:rFonts w:cs=""/>
                <w:b/>
                <w:kern w:val="0"/>
                <w:szCs w:val="22"/>
                <w:lang w:val="en-US" w:eastAsia="en-US" w:bidi="ar-SA"/>
              </w:rPr>
              <w:t>Question</w:t>
            </w:r>
          </w:p>
        </w:tc>
        <w:tc>
          <w:tcPr>
            <w:tcW w:w="4703" w:type="dxa"/>
            <w:tcBorders/>
            <w:shd w:fill="D9EAF7" w:val="clear"/>
          </w:tcPr>
          <w:p>
            <w:pPr>
              <w:pStyle w:val="Normal"/>
              <w:widowControl/>
              <w:spacing w:before="0" w:after="0"/>
              <w:jc w:val="start"/>
              <w:rPr>
                <w:rFonts w:cs=""/>
                <w:kern w:val="0"/>
                <w:szCs w:val="22"/>
                <w:lang w:val="en-US" w:eastAsia="en-US" w:bidi="ar-SA"/>
              </w:rPr>
            </w:pPr>
            <w:r>
              <w:rPr>
                <w:rFonts w:cs=""/>
                <w:b/>
                <w:kern w:val="0"/>
                <w:szCs w:val="22"/>
                <w:lang w:val="en-US" w:eastAsia="en-US" w:bidi="ar-SA"/>
              </w:rPr>
              <w:t>Règle retenue pour Ultimate DJ</w:t>
            </w:r>
          </w:p>
        </w:tc>
      </w:tr>
      <w:tr>
        <w:trPr/>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Contrat de prestation</w:t>
            </w:r>
          </w:p>
        </w:tc>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Le contrat indique le client et le DJ qui exécute la prestation. Ultimate DJ est identifié comme plateforme d'intermédiation et de gestion du dossier.</w:t>
            </w:r>
          </w:p>
        </w:tc>
      </w:tr>
      <w:tr>
        <w:trPr/>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Facturation</w:t>
            </w:r>
          </w:p>
        </w:tc>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La facture de la prestation doit identifier l'émetteur légalement responsable. En production, le choix entre facture du DJ ou facture d'Ultimate DJ doit être fixé avec un comptable avant toute commercialisation.</w:t>
            </w:r>
          </w:p>
        </w:tc>
      </w:tr>
      <w:tr>
        <w:trPr/>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Encaissement</w:t>
            </w:r>
          </w:p>
        </w:tc>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Le client paie via Stripe. Si Ultimate DJ encaisse pour le compte du DJ, cette mission de collecte, les conditions de reversement et les éventuels remboursements doivent être prévus par écrit.</w:t>
            </w:r>
          </w:p>
        </w:tc>
      </w:tr>
      <w:tr>
        <w:trPr/>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Commission</w:t>
            </w:r>
          </w:p>
        </w:tc>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La rémunération de la plateforme est une commission de 10 % sur le montant de la prestation, annoncée de manière transparente au DJ. Le contrat professionnel doit préciser si elle est prélevée avant reversement ou facturée séparément.</w:t>
            </w:r>
          </w:p>
        </w:tc>
      </w:tr>
      <w:tr>
        <w:trPr/>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Paiement de la prestation</w:t>
            </w:r>
          </w:p>
        </w:tc>
        <w:tc>
          <w:tcPr>
            <w:tcW w:w="4703"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Le DJ reçoit le montant qui lui revient après déduction de la commission et, selon la règle commerciale retenue, des frais de paiement convenus. Cette ventilation doit être visible dans les documents de gestion.</w:t>
            </w:r>
          </w:p>
        </w:tc>
      </w:tr>
    </w:tbl>
    <w:p>
      <w:pPr>
        <w:pStyle w:val="Heading1"/>
        <w:spacing w:before="200" w:after="80"/>
        <w:rPr/>
      </w:pPr>
      <w:r>
        <w:rPr>
          <w:rFonts w:eastAsia="Times New Roman" w:ascii="Times New Roman" w:hAnsi="Times New Roman"/>
          <w:b/>
          <w:i w:val="false"/>
          <w:color w:val="0B2545"/>
          <w:sz w:val="32"/>
        </w:rPr>
        <w:t>2. Informations légales et transparence du site</w:t>
      </w:r>
    </w:p>
    <w:p>
      <w:pPr>
        <w:pStyle w:val="Normal"/>
        <w:spacing w:lineRule="auto" w:line="276" w:before="0" w:after="120"/>
        <w:rPr/>
      </w:pPr>
      <w:r>
        <w:rPr/>
        <w:t>Le site doit permettre à l'utilisateur d'identifier clairement l'exploitant du service. Une application mise en production doit prévoir des mentions légales accessibles depuis le pied de page et avant la conclusion d'un contrat.</w:t>
      </w:r>
    </w:p>
    <w:p>
      <w:pPr>
        <w:pStyle w:val="ListBullet"/>
        <w:numPr>
          <w:ilvl w:val="0"/>
          <w:numId w:val="1"/>
        </w:numPr>
        <w:spacing w:lineRule="auto" w:line="276" w:before="0" w:after="60"/>
        <w:contextualSpacing/>
        <w:rPr/>
      </w:pPr>
      <w:r>
        <w:rPr>
          <w:rFonts w:eastAsia="Times New Roman"/>
          <w:b w:val="false"/>
          <w:i w:val="false"/>
          <w:sz w:val="24"/>
        </w:rPr>
        <w:t>Nom commercial de l’application : Ultimate DJ.</w:t>
      </w:r>
    </w:p>
    <w:p>
      <w:pPr>
        <w:pStyle w:val="ListBullet"/>
        <w:numPr>
          <w:ilvl w:val="0"/>
          <w:numId w:val="1"/>
        </w:numPr>
        <w:spacing w:lineRule="auto" w:line="276" w:before="0" w:after="60"/>
        <w:contextualSpacing/>
        <w:rPr/>
      </w:pPr>
      <w:r>
        <w:rPr>
          <w:rFonts w:eastAsia="Times New Roman"/>
          <w:b w:val="false"/>
          <w:i w:val="false"/>
          <w:sz w:val="24"/>
        </w:rPr>
        <w:t>Identité de l’exploitant ou de l’entreprise, adresse professionnelle et moyens de contact.</w:t>
      </w:r>
    </w:p>
    <w:p>
      <w:pPr>
        <w:pStyle w:val="ListBullet"/>
        <w:numPr>
          <w:ilvl w:val="0"/>
          <w:numId w:val="1"/>
        </w:numPr>
        <w:spacing w:lineRule="auto" w:line="276" w:before="0" w:after="60"/>
        <w:contextualSpacing/>
        <w:rPr/>
      </w:pPr>
      <w:r>
        <w:rPr>
          <w:rFonts w:eastAsia="Times New Roman"/>
          <w:b w:val="false"/>
          <w:i w:val="false"/>
          <w:sz w:val="24"/>
        </w:rPr>
        <w:t>Numéro d’entreprise et numéro de TVA si l’activité est exercée commercialement en Belgique.</w:t>
      </w:r>
    </w:p>
    <w:p>
      <w:pPr>
        <w:pStyle w:val="ListBullet"/>
        <w:numPr>
          <w:ilvl w:val="0"/>
          <w:numId w:val="1"/>
        </w:numPr>
        <w:spacing w:lineRule="auto" w:line="276" w:before="0" w:after="60"/>
        <w:contextualSpacing/>
        <w:rPr/>
      </w:pPr>
      <w:r>
        <w:rPr>
          <w:rFonts w:eastAsia="Times New Roman"/>
          <w:b w:val="false"/>
          <w:i w:val="false"/>
          <w:sz w:val="24"/>
        </w:rPr>
        <w:t>Coordonnées de l’hébergeur lorsque le site est mis en production.</w:t>
      </w:r>
    </w:p>
    <w:p>
      <w:pPr>
        <w:pStyle w:val="ListBullet"/>
        <w:numPr>
          <w:ilvl w:val="0"/>
          <w:numId w:val="1"/>
        </w:numPr>
        <w:spacing w:lineRule="auto" w:line="276" w:before="0" w:after="60"/>
        <w:contextualSpacing/>
        <w:rPr/>
      </w:pPr>
      <w:r>
        <w:rPr>
          <w:rFonts w:eastAsia="Times New Roman"/>
          <w:b w:val="false"/>
          <w:i w:val="false"/>
          <w:sz w:val="24"/>
        </w:rPr>
        <w:t>Conditions générales d’utilisation pour encadrer l’usage du site.</w:t>
      </w:r>
    </w:p>
    <w:p>
      <w:pPr>
        <w:pStyle w:val="ListBullet"/>
        <w:numPr>
          <w:ilvl w:val="0"/>
          <w:numId w:val="1"/>
        </w:numPr>
        <w:spacing w:lineRule="auto" w:line="276" w:before="0" w:after="60"/>
        <w:contextualSpacing/>
        <w:rPr/>
      </w:pPr>
      <w:r>
        <w:rPr>
          <w:rFonts w:eastAsia="Times New Roman"/>
          <w:b w:val="false"/>
          <w:i w:val="false"/>
          <w:sz w:val="24"/>
        </w:rPr>
        <w:t>Conditions générales de vente ou de prestation pour les devis, contrats, acomptes, annulations et remboursements.</w:t>
      </w:r>
    </w:p>
    <w:p>
      <w:pPr>
        <w:pStyle w:val="ListBullet"/>
        <w:numPr>
          <w:ilvl w:val="0"/>
          <w:numId w:val="1"/>
        </w:numPr>
        <w:spacing w:lineRule="auto" w:line="276" w:before="0" w:after="60"/>
        <w:contextualSpacing/>
        <w:rPr/>
      </w:pPr>
      <w:r>
        <w:rPr>
          <w:rFonts w:eastAsia="Times New Roman"/>
          <w:b w:val="false"/>
          <w:i w:val="false"/>
          <w:sz w:val="24"/>
        </w:rPr>
        <w:t>Politique de confidentialité et politique de cookies.</w:t>
      </w:r>
    </w:p>
    <w:p>
      <w:pPr>
        <w:pStyle w:val="Heading1"/>
        <w:spacing w:before="200" w:after="80"/>
        <w:rPr/>
      </w:pPr>
      <w:r>
        <w:rPr>
          <w:rFonts w:eastAsia="Times New Roman" w:ascii="Times New Roman" w:hAnsi="Times New Roman"/>
          <w:b/>
          <w:i w:val="false"/>
          <w:color w:val="0B2545"/>
          <w:sz w:val="32"/>
        </w:rPr>
        <w:t>3. Protection des données personnelles</w:t>
      </w:r>
    </w:p>
    <w:p>
      <w:pPr>
        <w:pStyle w:val="Normal"/>
        <w:spacing w:lineRule="auto" w:line="276" w:before="0" w:after="120"/>
        <w:rPr/>
      </w:pPr>
      <w:r>
        <w:rPr/>
        <w:t>Ultimate DJ collecte des données permettant d'identifier directement ou indirectement une personne. Le RGPD impose une collecte loyale, transparente et limitée aux finalités annoncées. Ultimate DJ est responsable du traitement pour les données nécessaires à la gestion de la plateforme. Stripe, l'hébergeur, le service d'e-mail et les outils techniques éventuels interviennent comme prestataires dont le rôle, les garanties de sécurité et les transferts éventuels hors de l'Espace économique européen doivent être documentés.</w:t>
      </w:r>
    </w:p>
    <w:tbl>
      <w:tblPr>
        <w:tblStyle w:val="TableGrid"/>
        <w:tblW w:w="940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51"/>
        <w:gridCol w:w="2351"/>
        <w:gridCol w:w="2351"/>
        <w:gridCol w:w="2351"/>
      </w:tblGrid>
      <w:tr>
        <w:trPr/>
        <w:tc>
          <w:tcPr>
            <w:tcW w:w="2351"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Donnée</w:t>
            </w:r>
          </w:p>
        </w:tc>
        <w:tc>
          <w:tcPr>
            <w:tcW w:w="2351"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Finalité</w:t>
            </w:r>
          </w:p>
        </w:tc>
        <w:tc>
          <w:tcPr>
            <w:tcW w:w="2351"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Base juridique envisagée</w:t>
            </w:r>
          </w:p>
        </w:tc>
        <w:tc>
          <w:tcPr>
            <w:tcW w:w="2351"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Mesure prévue</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Nom, e-mail, téléphone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Création de compte, contact, suivi de réservation.</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Contrat ou mesures précontractuelles.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Accès limité au client concerné, au DJ affecté lorsque nécessaire et aux administrateurs autorisés.</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Date de naissance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Vérifier qu'un client peut contracter conformément aux règles applicables.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Mesures précontractuelles et intérêt légitime à sécuriser le contrat.</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Collecte limitée ; information à ne pas afficher publiquement.</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Adresse de facturation</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Facturation et contrat.</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Contrat et obligation comptable.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Conservation selon les obligations légales applicables.</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Préférence de langue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Afficher le site et les communications en français, anglais ou néerlandais.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Préférence utilisateur et intérêt légitime.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Valeur modifiable par le client.</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Réservations, devis, contrats, factures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Exécution de la prestation et preuve commerciale.</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Contrat et obligations légales.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Historique protégé ; accès par rôle.</w:t>
            </w:r>
          </w:p>
        </w:tc>
      </w:tr>
      <w:tr>
        <w:trPr/>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Données de paiement</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Traiter le paiement, prévenir la fraude et gérer les remboursements.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Contrat et obligations légales.</w:t>
            </w:r>
          </w:p>
        </w:tc>
        <w:tc>
          <w:tcPr>
            <w:tcW w:w="2351"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Les données de carte ne transitent pas par Ultimate DJ ; Stripe traite le moyen de paiement.</w:t>
            </w:r>
          </w:p>
        </w:tc>
      </w:tr>
    </w:tbl>
    <w:p>
      <w:pPr>
        <w:pStyle w:val="Normal"/>
        <w:rPr/>
      </w:pPr>
      <w:r>
        <w:rPr/>
      </w:r>
    </w:p>
    <w:p>
      <w:pPr>
        <w:pStyle w:val="Heading2"/>
        <w:rPr/>
      </w:pPr>
      <w:r>
        <w:rPr/>
        <w:t>3.1 Tableau de conservation des données</w:t>
      </w:r>
    </w:p>
    <w:p>
      <w:pPr>
        <w:pStyle w:val="Normal"/>
        <w:rPr/>
      </w:pPr>
      <w:r>
        <w:rPr/>
        <w:t>Les durées ci-dessous constituent la politique de conservation à formaliser dans les pages légales. Elles doivent être validées avant la mise en production avec un comptable et, si nécessaire, un conseil juridique.</w:t>
      </w:r>
    </w:p>
    <w:tbl>
      <w:tblPr>
        <w:tblStyle w:val="TableGrid"/>
        <w:tblW w:w="940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tcPr>
          <w:p>
            <w:pPr>
              <w:pStyle w:val="Normal"/>
              <w:widowControl/>
              <w:spacing w:before="0" w:after="0"/>
              <w:jc w:val="start"/>
              <w:rPr>
                <w:rFonts w:cs=""/>
                <w:kern w:val="0"/>
                <w:szCs w:val="22"/>
                <w:lang w:val="en-US" w:eastAsia="en-US" w:bidi="ar-SA"/>
              </w:rPr>
            </w:pPr>
            <w:r>
              <w:rPr>
                <w:rFonts w:cs=""/>
                <w:b/>
                <w:kern w:val="0"/>
                <w:szCs w:val="22"/>
                <w:lang w:val="en-US" w:eastAsia="en-US" w:bidi="ar-SA"/>
              </w:rPr>
              <w:t>Catégorie</w:t>
            </w:r>
          </w:p>
        </w:tc>
        <w:tc>
          <w:tcPr>
            <w:tcW w:w="3135" w:type="dxa"/>
            <w:tcBorders/>
            <w:shd w:fill="D9EAF7" w:val="clear"/>
          </w:tcPr>
          <w:p>
            <w:pPr>
              <w:pStyle w:val="Normal"/>
              <w:widowControl/>
              <w:spacing w:before="0" w:after="0"/>
              <w:jc w:val="start"/>
              <w:rPr>
                <w:rFonts w:cs=""/>
                <w:kern w:val="0"/>
                <w:szCs w:val="22"/>
                <w:lang w:val="en-US" w:eastAsia="en-US" w:bidi="ar-SA"/>
              </w:rPr>
            </w:pPr>
            <w:r>
              <w:rPr>
                <w:rFonts w:cs=""/>
                <w:b/>
                <w:kern w:val="0"/>
                <w:szCs w:val="22"/>
                <w:lang w:val="en-US" w:eastAsia="en-US" w:bidi="ar-SA"/>
              </w:rPr>
              <w:t>Durée proposée</w:t>
            </w:r>
          </w:p>
        </w:tc>
        <w:tc>
          <w:tcPr>
            <w:tcW w:w="3135" w:type="dxa"/>
            <w:tcBorders/>
            <w:shd w:fill="D9EAF7" w:val="clear"/>
          </w:tcPr>
          <w:p>
            <w:pPr>
              <w:pStyle w:val="Normal"/>
              <w:widowControl/>
              <w:spacing w:before="0" w:after="0"/>
              <w:jc w:val="start"/>
              <w:rPr>
                <w:rFonts w:cs=""/>
                <w:kern w:val="0"/>
                <w:szCs w:val="22"/>
                <w:lang w:val="en-US" w:eastAsia="en-US" w:bidi="ar-SA"/>
              </w:rPr>
            </w:pPr>
            <w:r>
              <w:rPr>
                <w:rFonts w:cs=""/>
                <w:b/>
                <w:kern w:val="0"/>
                <w:szCs w:val="22"/>
                <w:lang w:val="en-US" w:eastAsia="en-US" w:bidi="ar-SA"/>
              </w:rPr>
              <w:t>Traitement à l'issue du délai</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Compte sans dossier actif</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Pendant la durée d'utilisation du compte ; désactivation ou anonymisation dans les 30 jours suivant une suppression autorisée.</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Supprimer ou anonymiser les données de profil non nécessaires.</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Devis non abouti</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12 mois après l'expiration du devis, sauf litige ou consentement marketing distinct.</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Supprimer ou anonymiser les données non nécessaires.</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Contrat, facture et preuve de paiement</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Au moins 7 ans, selon les obligations comptables et fiscales applicables.</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Archiver avec accès très limité, puis supprimer de façon sécurisée.</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Dossier clôturé et données d'événement</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3 ans après la clôture, sauf obligation légale, contestation ou litige.</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Supprimer les données opérationnelles ; conserver seulement les preuves requises.</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Messages liés au dossier</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24 mois après la clôture, sauf nécessité de preuve ou litige.</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Supprimer ou anonymiser.</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Avis publiés et modération</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Pendant la publication, puis réexamen après 3 ans ; journal de modération 12 mois après la décision.</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Retirer ou anonymiser si l'avis n'est plus nécessaire.</w:t>
            </w:r>
          </w:p>
        </w:tc>
      </w:tr>
      <w:tr>
        <w:trPr/>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Journaux de sécurité</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6 mois, prolongés seulement en cas d'incident ou d'enquête.</w:t>
            </w:r>
          </w:p>
        </w:tc>
        <w:tc>
          <w:tcPr>
            <w:tcW w:w="3135" w:type="dxa"/>
            <w:tcBorders/>
          </w:tcPr>
          <w:p>
            <w:pPr>
              <w:pStyle w:val="Normal"/>
              <w:widowControl/>
              <w:spacing w:before="0" w:after="120"/>
              <w:jc w:val="start"/>
              <w:rPr>
                <w:rFonts w:cs=""/>
                <w:kern w:val="0"/>
                <w:szCs w:val="22"/>
                <w:lang w:val="en-US" w:eastAsia="en-US" w:bidi="ar-SA"/>
              </w:rPr>
            </w:pPr>
            <w:r>
              <w:rPr>
                <w:rFonts w:cs=""/>
                <w:b w:val="false"/>
                <w:kern w:val="0"/>
                <w:szCs w:val="22"/>
                <w:lang w:val="en-US" w:eastAsia="en-US" w:bidi="ar-SA"/>
              </w:rPr>
              <w:t>Suppression ou anonymisation automatique.</w:t>
            </w:r>
          </w:p>
        </w:tc>
      </w:tr>
    </w:tbl>
    <w:p>
      <w:pPr>
        <w:pStyle w:val="Heading1"/>
        <w:spacing w:before="200" w:after="80"/>
        <w:rPr/>
      </w:pPr>
      <w:r>
        <w:rPr>
          <w:rFonts w:eastAsia="Times New Roman" w:ascii="Times New Roman" w:hAnsi="Times New Roman"/>
          <w:b/>
          <w:i w:val="false"/>
          <w:color w:val="0B2545"/>
          <w:sz w:val="32"/>
        </w:rPr>
        <w:t>4. Droits des utilisateurs sur leurs données</w:t>
      </w:r>
    </w:p>
    <w:p>
      <w:pPr>
        <w:pStyle w:val="Normal"/>
        <w:spacing w:lineRule="auto" w:line="276" w:before="0" w:after="120"/>
        <w:rPr/>
      </w:pPr>
      <w:r>
        <w:rPr/>
        <w:t>Les personnes concernées disposent de droits sur leurs données : information, accès, rectification, portabilité lorsque les conditions sont réunies, retrait du consentement, effacement, opposition et limitation. Ultimate DJ doit prévoir une adresse de contact et une procédure claire permettant d'exercer ces droits. Une réponse doit être apportée dans le délai légal applicable, sauf situation justifiant une prolongation motivée.</w:t>
      </w:r>
    </w:p>
    <w:p>
      <w:pPr>
        <w:pStyle w:val="ListBullet"/>
        <w:numPr>
          <w:ilvl w:val="0"/>
          <w:numId w:val="1"/>
        </w:numPr>
        <w:spacing w:lineRule="auto" w:line="276" w:before="0" w:after="60"/>
        <w:contextualSpacing/>
        <w:rPr/>
      </w:pPr>
      <w:r>
        <w:rPr>
          <w:rFonts w:eastAsia="Times New Roman"/>
          <w:b w:val="false"/>
          <w:i w:val="false"/>
          <w:sz w:val="24"/>
        </w:rPr>
        <w:t>Droit à l’information : expliquer quelles données sont collectées, pourquoi, combien de temps et avec quels destinataires.</w:t>
      </w:r>
    </w:p>
    <w:p>
      <w:pPr>
        <w:pStyle w:val="ListBullet"/>
        <w:numPr>
          <w:ilvl w:val="0"/>
          <w:numId w:val="1"/>
        </w:numPr>
        <w:spacing w:lineRule="auto" w:line="276" w:before="0" w:after="60"/>
        <w:contextualSpacing/>
        <w:rPr/>
      </w:pPr>
      <w:r>
        <w:rPr>
          <w:rFonts w:eastAsia="Times New Roman"/>
          <w:b w:val="false"/>
          <w:i w:val="false"/>
          <w:sz w:val="24"/>
        </w:rPr>
        <w:t>Droit d’accès : permettre au client de consulter les données conservées à son sujet.</w:t>
      </w:r>
    </w:p>
    <w:p>
      <w:pPr>
        <w:pStyle w:val="ListBullet"/>
        <w:numPr>
          <w:ilvl w:val="0"/>
          <w:numId w:val="1"/>
        </w:numPr>
        <w:spacing w:lineRule="auto" w:line="276" w:before="0" w:after="60"/>
        <w:contextualSpacing/>
        <w:rPr/>
      </w:pPr>
      <w:r>
        <w:rPr>
          <w:rFonts w:eastAsia="Times New Roman"/>
          <w:b w:val="false"/>
          <w:i w:val="false"/>
          <w:sz w:val="24"/>
        </w:rPr>
        <w:t>Droit de rectification : permettre la correction d’une adresse, d’un numéro ou d’une langue préférée.</w:t>
      </w:r>
    </w:p>
    <w:p>
      <w:pPr>
        <w:pStyle w:val="ListBullet"/>
        <w:numPr>
          <w:ilvl w:val="0"/>
          <w:numId w:val="1"/>
        </w:numPr>
        <w:spacing w:lineRule="auto" w:line="276" w:before="0" w:after="60"/>
        <w:contextualSpacing/>
        <w:rPr/>
      </w:pPr>
      <w:r>
        <w:rPr>
          <w:rFonts w:eastAsia="Times New Roman"/>
          <w:b w:val="false"/>
          <w:i w:val="false"/>
          <w:sz w:val="24"/>
        </w:rPr>
        <w:t>Droit à l’effacement : permettre une demande de suppression lorsque les données ne sont plus nécessaires, sous réserve des obligations comptables et contractuelles.</w:t>
      </w:r>
    </w:p>
    <w:p>
      <w:pPr>
        <w:pStyle w:val="ListBullet"/>
        <w:numPr>
          <w:ilvl w:val="0"/>
          <w:numId w:val="1"/>
        </w:numPr>
        <w:spacing w:lineRule="auto" w:line="276" w:before="0" w:after="60"/>
        <w:contextualSpacing/>
        <w:rPr/>
      </w:pPr>
      <w:r>
        <w:rPr>
          <w:rFonts w:eastAsia="Times New Roman"/>
          <w:b w:val="false"/>
          <w:i w:val="false"/>
          <w:sz w:val="24"/>
        </w:rPr>
        <w:t>Droit d’opposition : permettre de refuser certains usages, notamment marketing.</w:t>
      </w:r>
    </w:p>
    <w:p>
      <w:pPr>
        <w:pStyle w:val="ListBullet"/>
        <w:numPr>
          <w:ilvl w:val="0"/>
          <w:numId w:val="1"/>
        </w:numPr>
        <w:spacing w:lineRule="auto" w:line="276" w:before="0" w:after="60"/>
        <w:contextualSpacing/>
        <w:rPr/>
      </w:pPr>
      <w:r>
        <w:rPr>
          <w:rFonts w:eastAsia="Times New Roman"/>
          <w:b w:val="false"/>
          <w:i w:val="false"/>
          <w:sz w:val="24"/>
        </w:rPr>
        <w:t>Droit à la portabilité : prévoir, à terme, une exportation des principales données du compte.</w:t>
      </w:r>
    </w:p>
    <w:p>
      <w:pPr>
        <w:pStyle w:val="ListBullet"/>
        <w:numPr>
          <w:ilvl w:val="0"/>
          <w:numId w:val="1"/>
        </w:numPr>
        <w:spacing w:lineRule="auto" w:line="276" w:before="0" w:after="60"/>
        <w:contextualSpacing/>
        <w:rPr/>
      </w:pPr>
      <w:r>
        <w:rPr>
          <w:rFonts w:eastAsia="Times New Roman"/>
          <w:b w:val="false"/>
          <w:i w:val="false"/>
          <w:sz w:val="24"/>
        </w:rPr>
        <w:t>Droit à la limitation : bloquer temporairement certains traitements en cas de contestation.</w:t>
      </w:r>
    </w:p>
    <w:p>
      <w:pPr>
        <w:pStyle w:val="Heading1"/>
        <w:spacing w:before="200" w:after="80"/>
        <w:rPr/>
      </w:pPr>
      <w:r>
        <w:rPr>
          <w:rFonts w:eastAsia="Times New Roman" w:ascii="Times New Roman" w:hAnsi="Times New Roman"/>
          <w:b/>
          <w:i w:val="false"/>
          <w:color w:val="0B2545"/>
          <w:sz w:val="32"/>
        </w:rPr>
        <w:t>5. Politique de confidentialité</w:t>
      </w:r>
    </w:p>
    <w:p>
      <w:pPr>
        <w:pStyle w:val="Normal"/>
        <w:spacing w:lineRule="auto" w:line="276" w:before="0" w:after="120"/>
        <w:rPr/>
      </w:pPr>
      <w:r>
        <w:rPr/>
        <w:t>La politique de confidentialité doit être rédigée dans une langue claire. Comme l'application vise la Belgique et prévoit trois langues, elle devra idéalement être disponible en français, anglais et néerlandais. Elle doit notamment identifier Ultimate DJ comme responsable du traitement, le contact relatif à la vie privée, les finalités, les bases juridiques, les destinataires, les transferts, les délais de conservation, les droits et la possibilité d'introduire une réclamation auprès de l'Autorité de protection des données.</w:t>
      </w:r>
    </w:p>
    <w:tbl>
      <w:tblPr>
        <w:tblStyle w:val="TableGrid"/>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Élément obligatoire</w:t>
            </w:r>
          </w:p>
        </w:tc>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Contenu prévu dans Ultimate DJ</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Responsable du traitement</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L'exploitant d'Ultimate DJ, avec une adresse de contact relative à la vie privée.</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Finalités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Devis, réservation, contrat, paiement, facturation, playlist, avis, messages et support client.</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Données collectées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Données d'identification, de contact, de facturation, d'événement, de paiement, de préférences et de sécurité.</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Durée de conservation</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Tableau de conservation accessible dans la politique de confidentialité, avec archivage séparé des pièces imposées par la loi.</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Destinataires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Administrateurs habilités, DJ concerné, Stripe, hébergeur et prestataire d'e-mail selon leurs besoins stricts.</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Sous-traitants et transferts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Accords de traitement, garanties appropriées et information de l'utilisateur lorsque des données sont traitées hors de l'EEE.</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Droits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Accès, rectification, effacement, opposition, portabilité, limitation et réclamation auprès de l'APD.</w:t>
            </w:r>
          </w:p>
        </w:tc>
      </w:tr>
    </w:tbl>
    <w:p>
      <w:pPr>
        <w:pStyle w:val="Normal"/>
        <w:rPr/>
      </w:pPr>
      <w:r>
        <w:rPr/>
      </w:r>
    </w:p>
    <w:p>
      <w:pPr>
        <w:pStyle w:val="Heading1"/>
        <w:spacing w:before="200" w:after="80"/>
        <w:rPr/>
      </w:pPr>
      <w:r>
        <w:rPr/>
        <w:t>6. Cookies, stockage local et autres traceurs</w:t>
      </w:r>
    </w:p>
    <w:p>
      <w:pPr>
        <w:pStyle w:val="Normal"/>
        <w:spacing w:lineRule="auto" w:line="276" w:before="0" w:after="120"/>
        <w:rPr/>
      </w:pPr>
      <w:r>
        <w:rPr/>
        <w:t>Les règles applicables concernent les cookies mais aussi les technologies similaires, notamment le stockage local du navigateur. L'application actuelle utilise le stockage local pour mémoriser la langue choisie et les jetons d'authentification. Ces mécanismes doivent être documentés, limités à leur nécessité technique et protégés contre les risques d'exécution de scripts malveillants. Aucun outil publicitaire ou statistique tiers n'est prévu à ce stade.</w:t>
      </w:r>
    </w:p>
    <w:p>
      <w:pPr>
        <w:pStyle w:val="ListBullet"/>
        <w:numPr>
          <w:ilvl w:val="0"/>
          <w:numId w:val="1"/>
        </w:numPr>
        <w:spacing w:lineRule="auto" w:line="276" w:before="0" w:after="60"/>
        <w:contextualSpacing/>
        <w:rPr/>
      </w:pPr>
      <w:r>
        <w:rPr/>
        <w:t>Ne pas afficher de bannière de consentement tant que l'application n'utilise que des mécanismes strictement nécessaires à l'authentification, à la sécurité ou au choix de langue.</w:t>
      </w:r>
    </w:p>
    <w:p>
      <w:pPr>
        <w:pStyle w:val="ListBullet"/>
        <w:numPr>
          <w:ilvl w:val="0"/>
          <w:numId w:val="1"/>
        </w:numPr>
        <w:spacing w:lineRule="auto" w:line="276" w:before="0" w:after="60"/>
        <w:contextualSpacing/>
        <w:rPr/>
      </w:pPr>
      <w:r>
        <w:rPr/>
        <w:t>Mettre en place une bannière permettant d'accepter, refuser ou personnaliser les finalités avant toute activation d'un outil statistique, publicitaire ou de suivi non nécessaire.</w:t>
      </w:r>
    </w:p>
    <w:p>
      <w:pPr>
        <w:pStyle w:val="ListBullet"/>
        <w:numPr>
          <w:ilvl w:val="0"/>
          <w:numId w:val="1"/>
        </w:numPr>
        <w:spacing w:lineRule="auto" w:line="276" w:before="0" w:after="60"/>
        <w:contextualSpacing/>
        <w:rPr/>
      </w:pPr>
      <w:r>
        <w:rPr/>
        <w:t>Ne pas précocher les cases de consentement pour les traceurs non nécessaires.</w:t>
      </w:r>
    </w:p>
    <w:p>
      <w:pPr>
        <w:pStyle w:val="ListBullet"/>
        <w:numPr>
          <w:ilvl w:val="0"/>
          <w:numId w:val="1"/>
        </w:numPr>
        <w:spacing w:lineRule="auto" w:line="276" w:before="0" w:after="60"/>
        <w:contextualSpacing/>
        <w:rPr/>
      </w:pPr>
      <w:r>
        <w:rPr/>
        <w:t>Permettre le retrait du consentement aussi simplement que son acceptation.</w:t>
      </w:r>
    </w:p>
    <w:p>
      <w:pPr>
        <w:pStyle w:val="ListBullet"/>
        <w:numPr>
          <w:ilvl w:val="0"/>
          <w:numId w:val="1"/>
        </w:numPr>
        <w:spacing w:lineRule="auto" w:line="276" w:before="0" w:after="60"/>
        <w:contextualSpacing/>
        <w:rPr/>
      </w:pPr>
      <w:r>
        <w:rPr/>
        <w:t>Maintenir un registre des traceurs : nom, technologie, finalité, durée, fournisseur, base juridique et statut de consentement.</w:t>
      </w:r>
    </w:p>
    <w:p>
      <w:pPr>
        <w:pStyle w:val="ListBullet"/>
        <w:numPr>
          <w:ilvl w:val="0"/>
          <w:numId w:val="1"/>
        </w:numPr>
        <w:spacing w:lineRule="auto" w:line="276" w:before="0" w:after="60"/>
        <w:contextualSpacing/>
        <w:rPr/>
      </w:pPr>
      <w:r>
        <w:rPr/>
        <w:t>Lors d'un paiement, renvoyer l'utilisateur vers l'information de confidentialité et de cookies de Stripe, qui peut utiliser ses propres technologies pour sécuriser le paiement.</w:t>
      </w:r>
    </w:p>
    <w:p>
      <w:pPr>
        <w:pStyle w:val="Heading1"/>
        <w:spacing w:before="200" w:after="80"/>
        <w:rPr/>
      </w:pPr>
      <w:r>
        <w:rPr/>
        <w:t>7. E-commerce, contrats, devis et paiements</w:t>
      </w:r>
    </w:p>
    <w:p>
      <w:pPr>
        <w:pStyle w:val="Normal"/>
        <w:spacing w:lineRule="auto" w:line="276" w:before="0" w:after="120"/>
        <w:rPr/>
      </w:pPr>
      <w:r>
        <w:rPr/>
        <w:t>Ultimate DJ contient une logique commerciale : devis, rendez-vous préparatoire, contrat personnalisé, acompte, facture, annulation et remboursement. Les informations précontractuelles doivent être fournies clairement avant toute signature ou tout paiement : identité de l'entreprise, rôle d'Ultimate DJ, identité du DJ lorsque celui-ci est le prestataire, caractéristiques de la prestation, date, prix total TTC, frais éventuels, modalités d'exécution, moyens de paiement, annulation et droit de rétractation.</w:t>
      </w:r>
    </w:p>
    <w:tbl>
      <w:tblPr>
        <w:tblStyle w:val="TableGrid"/>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Sujet</w:t>
            </w:r>
          </w:p>
        </w:tc>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Décision juridique à prévoir</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Devis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Préciser s'il est informatif ou engageant, sa durée de validité, le DJ proposé et les éléments inclus.</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Acompte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Indiquer le montant, l'échéance, le rôle de réservation de la date et les conséquences d'un défaut de paiement.</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Contrat</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Fournir un contrat sur support durable reprenant client, DJ prestataire, rôle d'Ultimate DJ, date, durée, lieu, matériel, options, prix, acompte, solde et annulation.</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Rétractation</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Afficher avant la conclusion les conditions, le délai, les modalités et l'exception éventuellement applicable à une prestation de loisirs à date déterminée.</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Annulation</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Définir les cas de remboursement total, partiel ou non-remboursement, le calcul applicable et le sort du créneau DJ.</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Rendez-vous préparatoire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Préciser s'il est inclus, requis ou optionnel selon la formule et comment il peut être reprogrammé.</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Paiement Stripe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Indiquer que les données de carte sont traitées par Stripe et ne sont pas stockées par Ultimate DJ ; expliquer le statut du paiement et le remboursement.</w:t>
            </w:r>
          </w:p>
        </w:tc>
      </w:tr>
    </w:tbl>
    <w:p>
      <w:pPr>
        <w:pStyle w:val="Normal"/>
        <w:rPr/>
      </w:pPr>
      <w:r>
        <w:rPr/>
      </w:r>
    </w:p>
    <w:p>
      <w:pPr>
        <w:pStyle w:val="Heading1"/>
        <w:rPr/>
      </w:pPr>
      <w:r>
        <w:rPr/>
        <w:t>8. Rétractation, annulation et remboursement</w:t>
      </w:r>
    </w:p>
    <w:p>
      <w:pPr>
        <w:pStyle w:val="Normal"/>
        <w:rPr/>
      </w:pPr>
      <w:r>
        <w:rPr/>
        <w:t>Un contrat conclu en ligne avec un consommateur ouvre en principe un droit de rétractation de 14 jours. Ultimate DJ doit afficher les modalités pratiques de ce droit et un moyen simple de l'exercer. Une exception peut s'appliquer lorsque la prestation relève d'une activité de loisirs fournie à une date ou selon une période déterminée ; cette exception ne peut être invoquée que si elle est correctement annoncée avant la conclusion du contrat. Les conditions d'annulation propres au dossier ne peuvent pas supprimer les droits impératifs du consommateur.</w:t>
      </w:r>
    </w:p>
    <w:p>
      <w:pPr>
        <w:pStyle w:val="Normal"/>
        <w:rPr/>
      </w:pPr>
      <w:r>
        <w:rPr/>
        <w:t>La procédure applicative doit distinguer la rétractation, l'annulation demandée par le client et l'annulation imputable au DJ ou à Ultimate DJ. Elle doit indiquer qui décide, le motif, le montant remboursé, la date de remboursement, le canal de communication et la libération éventuelle du créneau. Le dossier doit conserver une trace de ces décisions.</w:t>
      </w:r>
    </w:p>
    <w:p>
      <w:pPr>
        <w:pStyle w:val="Heading1"/>
        <w:spacing w:before="200" w:after="80"/>
        <w:rPr/>
      </w:pPr>
      <w:r>
        <w:rPr/>
        <w:t>9. Droit d'auteur et contenus musicaux</w:t>
      </w:r>
    </w:p>
    <w:p>
      <w:pPr>
        <w:pStyle w:val="Normal"/>
        <w:spacing w:lineRule="auto" w:line="276" w:before="0" w:after="120"/>
        <w:rPr/>
      </w:pPr>
      <w:r>
        <w:rPr/>
        <w:t>Les droits d'auteur s'appliquent aussi sur Internet : photos, textes, vidéos, musiques, logiciels et créations graphiques ne peuvent pas être copiés ou diffusés sans autorisation ou licence valable. Cette règle est particulièrement importante pour une application liée à la musique.</w:t>
      </w:r>
    </w:p>
    <w:p>
      <w:pPr>
        <w:pStyle w:val="ListBullet"/>
        <w:numPr>
          <w:ilvl w:val="0"/>
          <w:numId w:val="1"/>
        </w:numPr>
        <w:spacing w:lineRule="auto" w:line="276" w:before="0" w:after="60"/>
        <w:contextualSpacing/>
        <w:rPr/>
      </w:pPr>
      <w:r>
        <w:rPr>
          <w:rFonts w:eastAsia="Times New Roman"/>
          <w:b w:val="false"/>
          <w:i w:val="false"/>
          <w:sz w:val="24"/>
        </w:rPr>
        <w:t>Utiliser un logo original ou dont les droits sont détenus par le projet.</w:t>
      </w:r>
    </w:p>
    <w:p>
      <w:pPr>
        <w:pStyle w:val="ListBullet"/>
        <w:numPr>
          <w:ilvl w:val="0"/>
          <w:numId w:val="1"/>
        </w:numPr>
        <w:spacing w:lineRule="auto" w:line="276" w:before="0" w:after="60"/>
        <w:contextualSpacing/>
        <w:rPr/>
      </w:pPr>
      <w:r>
        <w:rPr>
          <w:rFonts w:eastAsia="Times New Roman"/>
          <w:b w:val="false"/>
          <w:i w:val="false"/>
          <w:sz w:val="24"/>
        </w:rPr>
        <w:t>Ne pas copier les textes, images ou maquettes d’autres sites.</w:t>
      </w:r>
    </w:p>
    <w:p>
      <w:pPr>
        <w:pStyle w:val="ListBullet"/>
        <w:numPr>
          <w:ilvl w:val="0"/>
          <w:numId w:val="1"/>
        </w:numPr>
        <w:spacing w:lineRule="auto" w:line="276" w:before="0" w:after="60"/>
        <w:contextualSpacing/>
        <w:rPr/>
      </w:pPr>
      <w:r>
        <w:rPr>
          <w:rFonts w:eastAsia="Times New Roman"/>
          <w:b w:val="false"/>
          <w:i w:val="false"/>
          <w:sz w:val="24"/>
        </w:rPr>
        <w:t>N’utiliser que des photos autorisées, libres de droits ou produites pour le projet.</w:t>
      </w:r>
    </w:p>
    <w:p>
      <w:pPr>
        <w:pStyle w:val="ListBullet"/>
        <w:numPr>
          <w:ilvl w:val="0"/>
          <w:numId w:val="1"/>
        </w:numPr>
        <w:spacing w:lineRule="auto" w:line="276" w:before="0" w:after="60"/>
        <w:contextualSpacing/>
        <w:rPr/>
      </w:pPr>
      <w:r>
        <w:rPr>
          <w:rFonts w:eastAsia="Times New Roman"/>
          <w:b w:val="false"/>
          <w:i w:val="false"/>
          <w:sz w:val="24"/>
        </w:rPr>
        <w:t>Ne pas mettre à disposition des fichiers musicaux protégés sans licence.</w:t>
      </w:r>
    </w:p>
    <w:p>
      <w:pPr>
        <w:pStyle w:val="ListBullet"/>
        <w:numPr>
          <w:ilvl w:val="0"/>
          <w:numId w:val="1"/>
        </w:numPr>
        <w:spacing w:lineRule="auto" w:line="276" w:before="0" w:after="60"/>
        <w:contextualSpacing/>
        <w:rPr/>
      </w:pPr>
      <w:r>
        <w:rPr>
          <w:rFonts w:eastAsia="Times New Roman"/>
          <w:b w:val="false"/>
          <w:i w:val="false"/>
          <w:sz w:val="24"/>
        </w:rPr>
        <w:t>Les playlists clients doivent rester des listes de titres/artistes, pas une diffusion de morceaux protégés.</w:t>
      </w:r>
    </w:p>
    <w:p>
      <w:pPr>
        <w:pStyle w:val="ListBullet"/>
        <w:numPr>
          <w:ilvl w:val="0"/>
          <w:numId w:val="1"/>
        </w:numPr>
        <w:spacing w:lineRule="auto" w:line="276" w:before="0" w:after="60"/>
        <w:contextualSpacing/>
        <w:rPr/>
      </w:pPr>
      <w:r>
        <w:rPr/>
        <w:t>Pour la diffusion musicale, il faut distinguer la licence du DJ et celle de l'organisateur ou du lieu. Un DJ qui copie sa collection pour ses activités peut avoir besoin d'une licence DJ. L'organisateur doit vérifier les autorisations nécessaires pour la diffusion de musique hors du cercle de famille, notamment avec le lieu de l'événement.</w:t>
      </w:r>
    </w:p>
    <w:p>
      <w:pPr>
        <w:pStyle w:val="ListBullet"/>
        <w:numPr>
          <w:ilvl w:val="0"/>
          <w:numId w:val="1"/>
        </w:numPr>
        <w:spacing w:lineRule="auto" w:line="276" w:before="0" w:after="60"/>
        <w:contextualSpacing/>
        <w:rPr/>
      </w:pPr>
      <w:r>
        <w:rPr>
          <w:rFonts w:eastAsia="Times New Roman"/>
          <w:b w:val="false"/>
          <w:i w:val="false"/>
          <w:sz w:val="24"/>
        </w:rPr>
        <w:t>Obtenir l’autorisation avant de publier des photos ou vidéos d’un événement avec des personnes identifiables.</w:t>
      </w:r>
    </w:p>
    <w:p>
      <w:pPr>
        <w:pStyle w:val="Heading1"/>
        <w:spacing w:before="200" w:after="80"/>
        <w:rPr/>
      </w:pPr>
      <w:r>
        <w:rPr/>
        <w:t>10. Avis clients, messages, modération et responsabilité</w:t>
      </w:r>
    </w:p>
    <w:p>
      <w:pPr>
        <w:pStyle w:val="Normal"/>
        <w:spacing w:lineRule="auto" w:line="276" w:before="0" w:after="120"/>
        <w:rPr/>
      </w:pPr>
      <w:r>
        <w:rPr/>
        <w:t>L'application prévoit des avis clients et des messages liés à un dossier. Ils améliorent la confiance et la préparation de la prestation, mais doivent être encadrés afin d'éviter les propos illicites, diffamatoires, discriminatoires, mensongers ou la publication de données personnelles inutiles.</w:t>
      </w:r>
    </w:p>
    <w:tbl>
      <w:tblPr>
        <w:tblStyle w:val="TableGrid"/>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Risque</w:t>
            </w:r>
          </w:p>
        </w:tc>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Mesure prévue</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Avis injurieux, diffamatoire ou discriminatoire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Modération avant publication ou dispositif de signalement rapide ; retrait motivé lorsqu'un contenu est manifestement illicite ou contraire aux règles.</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Faux avis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Réserver les avis aux clients rattachés à une prestation réellement finalisée et conserver le lien avec le dossier.</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Données personnelles dans un commentaire ou message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Masquer ou retirer les informations sensibles qui ne sont pas nécessaires à la publication ou à l'échange.</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Contestation</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Prévoir un canal de contact pour signaler un contenu, une décision motivée, une conservation du signalement et une possibilité de réexamen.</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Responsabilité éditoriale</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Conserver une trace limitée des signalements et décisions de modération ; informer les utilisateurs des règles de contenu.</w:t>
            </w:r>
          </w:p>
        </w:tc>
      </w:tr>
    </w:tbl>
    <w:p>
      <w:pPr>
        <w:pStyle w:val="Normal"/>
        <w:rPr/>
      </w:pPr>
      <w:r>
        <w:rPr/>
      </w:r>
    </w:p>
    <w:p>
      <w:pPr>
        <w:pStyle w:val="Heading1"/>
        <w:spacing w:before="200" w:after="80"/>
        <w:rPr/>
      </w:pPr>
      <w:r>
        <w:rPr/>
        <w:t>11. Vie privée, droit à l'image et événements</w:t>
      </w:r>
    </w:p>
    <w:p>
      <w:pPr>
        <w:pStyle w:val="Normal"/>
        <w:spacing w:lineRule="auto" w:line="276" w:before="0" w:after="120"/>
        <w:rPr/>
      </w:pPr>
      <w:r>
        <w:rPr>
          <w:rFonts w:eastAsia="Times New Roman"/>
          <w:b w:val="false"/>
          <w:i w:val="false"/>
          <w:sz w:val="24"/>
        </w:rPr>
        <w:t>Une prestation DJ se déroule dans un cadre privé ou professionnel. La publication d’images d’un mariage, d’une soirée privée ou d’un événement d’entreprise doit respecter la vie privée et le droit à l’image.</w:t>
      </w:r>
    </w:p>
    <w:p>
      <w:pPr>
        <w:pStyle w:val="ListBullet"/>
        <w:numPr>
          <w:ilvl w:val="0"/>
          <w:numId w:val="1"/>
        </w:numPr>
        <w:spacing w:lineRule="auto" w:line="276" w:before="0" w:after="60"/>
        <w:contextualSpacing/>
        <w:rPr/>
      </w:pPr>
      <w:r>
        <w:rPr>
          <w:rFonts w:eastAsia="Times New Roman"/>
          <w:b w:val="false"/>
          <w:i w:val="false"/>
          <w:sz w:val="24"/>
        </w:rPr>
        <w:t>Demander une autorisation explicite avant d’utiliser des photos ou vidéos d’un client ou de ses invités.</w:t>
      </w:r>
    </w:p>
    <w:p>
      <w:pPr>
        <w:pStyle w:val="ListBullet"/>
        <w:numPr>
          <w:ilvl w:val="0"/>
          <w:numId w:val="1"/>
        </w:numPr>
        <w:spacing w:lineRule="auto" w:line="276" w:before="0" w:after="60"/>
        <w:contextualSpacing/>
        <w:rPr/>
      </w:pPr>
      <w:r>
        <w:rPr>
          <w:rFonts w:eastAsia="Times New Roman"/>
          <w:b w:val="false"/>
          <w:i w:val="false"/>
          <w:sz w:val="24"/>
        </w:rPr>
        <w:t>Éviter de publier des images de mineurs sans accord clair des responsables légaux.</w:t>
      </w:r>
    </w:p>
    <w:p>
      <w:pPr>
        <w:pStyle w:val="ListBullet"/>
        <w:numPr>
          <w:ilvl w:val="0"/>
          <w:numId w:val="1"/>
        </w:numPr>
        <w:spacing w:lineRule="auto" w:line="276" w:before="0" w:after="60"/>
        <w:contextualSpacing/>
        <w:rPr/>
      </w:pPr>
      <w:r>
        <w:rPr>
          <w:rFonts w:eastAsia="Times New Roman"/>
          <w:b w:val="false"/>
          <w:i w:val="false"/>
          <w:sz w:val="24"/>
        </w:rPr>
        <w:t>Prévoir dans le contrat une clause distincte concernant l’utilisation éventuelle d’images à des fins de portfolio ou de promotion.</w:t>
      </w:r>
    </w:p>
    <w:p>
      <w:pPr>
        <w:pStyle w:val="ListBullet"/>
        <w:numPr>
          <w:ilvl w:val="0"/>
          <w:numId w:val="1"/>
        </w:numPr>
        <w:spacing w:lineRule="auto" w:line="276" w:before="0" w:after="60"/>
        <w:contextualSpacing/>
        <w:rPr/>
      </w:pPr>
      <w:r>
        <w:rPr>
          <w:rFonts w:eastAsia="Times New Roman"/>
          <w:b w:val="false"/>
          <w:i w:val="false"/>
          <w:sz w:val="24"/>
        </w:rPr>
        <w:t>Permettre le retrait d’une image si une personne identifiée exerce valablement ses droits.</w:t>
      </w:r>
    </w:p>
    <w:p>
      <w:pPr>
        <w:pStyle w:val="ListBullet"/>
        <w:numPr>
          <w:ilvl w:val="0"/>
          <w:numId w:val="1"/>
        </w:numPr>
        <w:spacing w:lineRule="auto" w:line="276" w:before="0" w:after="60"/>
        <w:contextualSpacing/>
        <w:rPr/>
      </w:pPr>
      <w:r>
        <w:rPr>
          <w:rFonts w:eastAsia="Times New Roman"/>
          <w:b w:val="false"/>
          <w:i w:val="false"/>
          <w:sz w:val="24"/>
        </w:rPr>
        <w:t>Ne pas utiliser les données clients à des fins de marketing sans base juridique claire.</w:t>
      </w:r>
    </w:p>
    <w:p>
      <w:pPr>
        <w:pStyle w:val="Heading1"/>
        <w:spacing w:before="200" w:after="80"/>
        <w:rPr/>
      </w:pPr>
      <w:r>
        <w:rPr/>
        <w:t>12. Sécurité juridique, technique et gestion des incidents</w:t>
      </w:r>
    </w:p>
    <w:p>
      <w:pPr>
        <w:pStyle w:val="Normal"/>
        <w:spacing w:lineRule="auto" w:line="276" w:before="0" w:after="120"/>
        <w:rPr/>
      </w:pPr>
      <w:r>
        <w:rPr/>
        <w:t>Les obligations juridiques doivent être traduites dans le code et les procédures. Cela implique une sécurité technique cohérente avec les données traitées : authentification, contrôle des rôles, sauvegardes, journalisation des actions sensibles, protection des secrets et HTTPS en production. L'utilisation actuelle du stockage local pour les jetons de connexion doit être réévaluée avant la mise en production ; une protection renforcée contre les attaques XSS, l'expiration courte des jetons et, si le choix technique le permet, des cookies sécurisés HttpOnly doivent être envisagés.</w:t>
      </w:r>
    </w:p>
    <w:tbl>
      <w:tblPr>
        <w:tblStyle w:val="TableGrid"/>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Obligation</w:t>
            </w:r>
          </w:p>
        </w:tc>
        <w:tc>
          <w:tcPr>
            <w:tcW w:w="4703" w:type="dxa"/>
            <w:tcBorders/>
            <w:shd w:fill="D9EAF7" w:val="clear"/>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Traduction dans le projet</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Confidentialité</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Permissions API par rôle, accès client/DJ/admin, données filtrées par propriétaire et minimisation des informations transmises au DJ.</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Intégrité</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Contraintes de base de données, statuts contrôlés, validation des devis et paiements, et prévention des doubles paiements.</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Disponibilité</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Sauvegardes, plan de reprise d'activité, mises à jour de sécurité et documentation de déploiement.</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Traçabilité</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Journal des actions sensibles : contrat, facture, paiement, remboursement, annulation, suppression de compte et modération.</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Gestion des incidents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Détection, confinement, correction, évaluation du risque, documentation et décision de notification à l'APD ou aux personnes concernées.</w:t>
            </w:r>
          </w:p>
        </w:tc>
      </w:tr>
      <w:tr>
        <w:trPr/>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Protection des secrets</w:t>
            </w:r>
          </w:p>
        </w:tc>
        <w:tc>
          <w:tcPr>
            <w:tcW w:w="4703" w:type="dxa"/>
            <w:tcBorders/>
            <w:vAlign w:val="center"/>
          </w:tcPr>
          <w:p>
            <w:pPr>
              <w:pStyle w:val="Normal"/>
              <w:widowControl/>
              <w:spacing w:lineRule="auto" w:line="252" w:before="0" w:after="0"/>
              <w:jc w:val="start"/>
              <w:rPr>
                <w:rFonts w:cs=""/>
                <w:kern w:val="0"/>
                <w:szCs w:val="22"/>
                <w:lang w:val="en-US" w:eastAsia="en-US" w:bidi="ar-SA"/>
              </w:rPr>
            </w:pPr>
            <w:r>
              <w:rPr>
                <w:rFonts w:cs=""/>
                <w:b w:val="false"/>
                <w:kern w:val="0"/>
                <w:szCs w:val="22"/>
                <w:lang w:val="en-US" w:eastAsia="en-US" w:bidi="ar-SA"/>
              </w:rPr>
              <w:t>Clés Stripe et SECRET_KEY dans des variables d'environnement, jamais dans Git ; accès limité aux personnes habilitées.</w:t>
            </w:r>
          </w:p>
        </w:tc>
      </w:tr>
    </w:tbl>
    <w:p>
      <w:pPr>
        <w:pStyle w:val="Normal"/>
        <w:rPr/>
      </w:pPr>
      <w:r>
        <w:rPr/>
      </w:r>
    </w:p>
    <w:p>
      <w:pPr>
        <w:pStyle w:val="Heading2"/>
        <w:rPr/>
      </w:pPr>
      <w:r>
        <w:rPr/>
        <w:t>12.1 Procédure en cas de violation de données</w:t>
      </w:r>
    </w:p>
    <w:p>
      <w:pPr>
        <w:pStyle w:val="Normal"/>
        <w:rPr/>
      </w:pPr>
      <w:r>
        <w:rPr/>
        <w:t>En cas d'incident, Ultimate DJ doit : 1) détecter et consigner l'événement ; 2) limiter l'accès ou isoler le système concerné ; 3) analyser les données touchées, les personnes concernées et le risque ; 4) corriger la cause et restaurer le service ; 5) notifier l'Autorité de protection des données dans les meilleurs délais et, si possible, dans les 72 heures lorsque la violation est susceptible d'engendrer un risque pour les droits et libertés ; 6) informer les personnes concernées lorsque le risque est élevé ; 7) conserver la documentation de l'incident et des mesures prises.</w:t>
      </w:r>
    </w:p>
    <w:p>
      <w:pPr>
        <w:pStyle w:val="Heading1"/>
        <w:spacing w:before="200" w:after="80"/>
        <w:rPr/>
      </w:pPr>
      <w:r>
        <w:rPr/>
        <w:t>13. Synthèse des pages et documents légaux à prévoir</w:t>
      </w:r>
    </w:p>
    <w:p>
      <w:pPr>
        <w:pStyle w:val="Normal"/>
        <w:spacing w:lineRule="auto" w:line="276" w:before="0" w:after="120"/>
        <w:rPr/>
      </w:pPr>
      <w:r>
        <w:rPr/>
        <w:t>Pour une mise en production, Ultimate DJ devra prévoir plusieurs pages ou documents accessibles depuis le site et, lorsque nécessaire, remis au client sur un support durable.</w:t>
      </w:r>
    </w:p>
    <w:p>
      <w:pPr>
        <w:pStyle w:val="ListBullet"/>
        <w:numPr>
          <w:ilvl w:val="0"/>
          <w:numId w:val="1"/>
        </w:numPr>
        <w:spacing w:lineRule="auto" w:line="276" w:before="0" w:after="60"/>
        <w:contextualSpacing/>
        <w:rPr/>
      </w:pPr>
      <w:r>
        <w:rPr/>
        <w:t>Mentions légales et identité de l'exploitant.</w:t>
      </w:r>
    </w:p>
    <w:p>
      <w:pPr>
        <w:pStyle w:val="ListBullet"/>
        <w:numPr>
          <w:ilvl w:val="0"/>
          <w:numId w:val="1"/>
        </w:numPr>
        <w:spacing w:lineRule="auto" w:line="276" w:before="0" w:after="60"/>
        <w:contextualSpacing/>
        <w:rPr/>
      </w:pPr>
      <w:r>
        <w:rPr/>
        <w:t>Conditions générales d'utilisation.</w:t>
      </w:r>
    </w:p>
    <w:p>
      <w:pPr>
        <w:pStyle w:val="ListBullet"/>
        <w:numPr>
          <w:ilvl w:val="0"/>
          <w:numId w:val="1"/>
        </w:numPr>
        <w:spacing w:lineRule="auto" w:line="276" w:before="0" w:after="60"/>
        <w:contextualSpacing/>
        <w:rPr/>
      </w:pPr>
      <w:r>
        <w:rPr/>
        <w:t>Conditions générales de prestation ou de vente, comprenant le rôle d'Ultimate DJ, du DJ, la commission et la facturation.</w:t>
      </w:r>
    </w:p>
    <w:p>
      <w:pPr>
        <w:pStyle w:val="ListBullet"/>
        <w:numPr>
          <w:ilvl w:val="0"/>
          <w:numId w:val="1"/>
        </w:numPr>
        <w:spacing w:lineRule="auto" w:line="276" w:before="0" w:after="60"/>
        <w:contextualSpacing/>
        <w:rPr/>
      </w:pPr>
      <w:r>
        <w:rPr/>
        <w:t>Politique de confidentialité avec tableau de conservation.</w:t>
      </w:r>
    </w:p>
    <w:p>
      <w:pPr>
        <w:pStyle w:val="ListBullet"/>
        <w:numPr>
          <w:ilvl w:val="0"/>
          <w:numId w:val="1"/>
        </w:numPr>
        <w:spacing w:lineRule="auto" w:line="276" w:before="0" w:after="60"/>
        <w:contextualSpacing/>
        <w:rPr/>
      </w:pPr>
      <w:r>
        <w:rPr/>
        <w:t>Politique de cookies et autres traceurs, comprenant le stockage local et les mécanismes Stripe éventuels.</w:t>
      </w:r>
    </w:p>
    <w:p>
      <w:pPr>
        <w:pStyle w:val="ListBullet"/>
        <w:numPr>
          <w:ilvl w:val="0"/>
          <w:numId w:val="1"/>
        </w:numPr>
        <w:spacing w:lineRule="auto" w:line="276" w:before="0" w:after="60"/>
        <w:contextualSpacing/>
        <w:rPr/>
      </w:pPr>
      <w:r>
        <w:rPr/>
        <w:t>Modalités de rétractation, d'annulation et de remboursement.</w:t>
      </w:r>
    </w:p>
    <w:p>
      <w:pPr>
        <w:pStyle w:val="ListBullet"/>
        <w:numPr>
          <w:ilvl w:val="0"/>
          <w:numId w:val="1"/>
        </w:numPr>
        <w:spacing w:lineRule="auto" w:line="276" w:before="0" w:after="60"/>
        <w:contextualSpacing/>
        <w:rPr/>
      </w:pPr>
      <w:r>
        <w:rPr/>
        <w:t>Informations sur les paiements, Stripe, le statut test actuel et les remboursements.</w:t>
      </w:r>
    </w:p>
    <w:p>
      <w:pPr>
        <w:pStyle w:val="ListBullet"/>
        <w:numPr>
          <w:ilvl w:val="0"/>
          <w:numId w:val="1"/>
        </w:numPr>
        <w:spacing w:lineRule="auto" w:line="276" w:before="0" w:after="60"/>
        <w:contextualSpacing/>
        <w:rPr/>
      </w:pPr>
      <w:r>
        <w:rPr/>
        <w:t>Clause d'autorisation distincte pour l'utilisation d'images et contenus promotionnels.</w:t>
      </w:r>
    </w:p>
    <w:p>
      <w:pPr>
        <w:pStyle w:val="ListBullet"/>
        <w:numPr>
          <w:ilvl w:val="0"/>
          <w:numId w:val="1"/>
        </w:numPr>
        <w:spacing w:lineRule="auto" w:line="276" w:before="0" w:after="60"/>
        <w:contextualSpacing/>
        <w:rPr/>
      </w:pPr>
      <w:r>
        <w:rPr/>
        <w:t>Procédure de contact pour les droits RGPD, les signalements de contenu et les réclamations.</w:t>
      </w:r>
    </w:p>
    <w:p>
      <w:pPr>
        <w:pStyle w:val="Heading1"/>
        <w:spacing w:before="200" w:after="80"/>
        <w:rPr/>
      </w:pPr>
      <w:r>
        <w:rPr/>
        <w:t>14. Conclusion</w:t>
      </w:r>
    </w:p>
    <w:p>
      <w:pPr>
        <w:pStyle w:val="Normal"/>
        <w:spacing w:lineRule="auto" w:line="276" w:before="0" w:after="120"/>
        <w:rPr/>
      </w:pPr>
      <w:r>
        <w:rPr/>
        <w:t>Le cadre légal d'Ultimate DJ concerne le droit de l'Internet, la protection des données personnelles, les traceurs, l'e-commerce, le droit d'auteur, la vie privée et la responsabilité liée aux contenus publiés. Le projet comporte déjà des éléments favorables : accès par rôle, documents, factures, contrats, traçabilité, prévention des doubles paiements, procédure de suppression de compte et paiement externalisé via Stripe. Avant une commercialisation réelle, il faudra finaliser les pages légales, retenir définitivement le modèle contractuel et de facturation, conclure les accords nécessaires avec les prestataires, configurer Stripe en production avec un webhook HTTPS sécurisé et faire vérifier les aspects comptables et juridiques par un professionnel.</w:t>
      </w:r>
    </w:p>
    <w:p>
      <w:pPr>
        <w:pStyle w:val="Normal"/>
        <w:rPr/>
      </w:pPr>
      <w:r>
        <w:rPr/>
      </w:r>
      <w:r>
        <w:br w:type="page"/>
      </w:r>
    </w:p>
    <w:p>
      <w:pPr>
        <w:pStyle w:val="Heading1"/>
        <w:spacing w:before="0" w:after="80"/>
        <w:rPr/>
      </w:pPr>
      <w:r>
        <w:rPr>
          <w:rFonts w:eastAsia="Times New Roman" w:ascii="Times New Roman" w:hAnsi="Times New Roman"/>
          <w:b/>
          <w:i w:val="false"/>
          <w:color w:val="0B2545"/>
          <w:sz w:val="32"/>
        </w:rPr>
        <w:t>Bibliographie</w:t>
      </w:r>
    </w:p>
    <w:p>
      <w:pPr>
        <w:pStyle w:val="Normal"/>
        <w:rPr/>
      </w:pPr>
      <w:r>
        <w:rPr/>
        <w:t>AUTORITÉ DE PROTECTION DES DONNÉES. Cookies et autres traceurs [en ligne]. Autorité de protection des données, 17 novembre 2023 [consulté le 11 octobre 2026]. Disponible à l'adresse : https://www.autoriteprotectiondonnees.be/citoyen/themes/internet/cookies</w:t>
      </w:r>
    </w:p>
    <w:p>
      <w:pPr>
        <w:pStyle w:val="Normal"/>
        <w:rPr/>
      </w:pPr>
      <w:r>
        <w:rPr/>
        <w:t>AUTORITÉ DE PROTECTION DES DONNÉES. Notifier et gérer une violation de données [en ligne]. Autorité de protection des données [consulté le 11 octobre 2026]. Disponible à l'adresse : https://www.autoriteprotectiondonnees.be/professionnel/actions/violation-de-donnees-personnelles</w:t>
      </w:r>
    </w:p>
    <w:p>
      <w:pPr>
        <w:pStyle w:val="Normal"/>
        <w:rPr/>
      </w:pPr>
      <w:r>
        <w:rPr/>
        <w:t>BELGIQUE. Code de droit économique, Livre VI, articles VI.45 et suivants [en ligne]. eJustice [consulté le 11 octobre 2026]. Disponible à l'adresse : https://www.ejustice.just.fgov.be</w:t>
      </w:r>
    </w:p>
    <w:p>
      <w:pPr>
        <w:pStyle w:val="Normal"/>
        <w:rPr/>
      </w:pPr>
      <w:r>
        <w:rPr/>
        <w:t>COMMISSION EUROPÉENNE. Règlement (UE) 2016/679 du Parlement européen et du Conseil du 27 avril 2016 relatif à la protection des données à caractère personnel [en ligne]. Journal officiel de l'Union européenne, 2016 [consulté le 11 octobre 2026]. Disponible à l'adresse : https://eur-lex.europa.eu/eli/reg/2016/679/oj</w:t>
      </w:r>
    </w:p>
    <w:p>
      <w:pPr>
        <w:pStyle w:val="Normal"/>
        <w:rPr/>
      </w:pPr>
      <w:r>
        <w:rPr/>
        <w:t>SPF ÉCONOMIE. Droit de rétractation lors de l'achat à distance [en ligne]. SPF Économie [consulté le 11 octobre 2026]. Disponible à l'adresse : https://economie.fgov.be/fr/themes/ventes/reglementation/delais-de-retractation/droit-de-retractation-lors-de</w:t>
      </w:r>
    </w:p>
    <w:p>
      <w:pPr>
        <w:pStyle w:val="Normal"/>
        <w:rPr/>
      </w:pPr>
      <w:r>
        <w:rPr/>
        <w:t>SPF ÉCONOMIE. Obligations d'information dans le cadre du e-commerce : guidelines destinées aux entreprises [en ligne]. SPF Économie [consulté le 11 octobre 2026]. Disponible à l'adresse : https://economie.fgov.be/fr/themes/entreprises/guidance/pratiques-commerciales/obligations-dinformation-dans</w:t>
      </w:r>
    </w:p>
    <w:p>
      <w:pPr>
        <w:pStyle w:val="Normal"/>
        <w:rPr/>
      </w:pPr>
      <w:r>
        <w:rPr/>
        <w:t>STRIPE. Politique de confidentialité [en ligne]. Stripe, 16 janvier 2026 [consulté le 11 octobre 2026]. Disponible à l'adresse : https://stripe.com/fr/privacy</w:t>
      </w:r>
    </w:p>
    <w:p>
      <w:pPr>
        <w:pStyle w:val="Normal"/>
        <w:rPr/>
      </w:pPr>
      <w:r>
        <w:rPr/>
        <w:t>STRIPE. Webhook Endpoints [en ligne]. Stripe Documentation [consulté le 11 octobre 2026]. Disponible à l'adresse : https://docs.stripe.com/api/webhook_endpoints</w:t>
      </w:r>
    </w:p>
    <w:p>
      <w:pPr>
        <w:pStyle w:val="Normal"/>
        <w:widowControl/>
        <w:bidi w:val="0"/>
        <w:spacing w:lineRule="auto" w:line="276" w:before="0" w:after="120"/>
        <w:jc w:val="start"/>
        <w:rPr/>
      </w:pPr>
      <w:r>
        <w:rPr/>
        <w:t>UNISONO. Quand ai-je besoin d'une licence DJ ? [en ligne]. Unisono, 5 juin 2026 [consulté le 11 octobre 2026]. Disponible à l'adresse : https://www.unisono.be/fr/support/quand-ai-je-besoin-dune-licence-dj</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b w:val="false"/>
        <w:i w:val="false"/>
        <w:sz w:val="20"/>
      </w:rPr>
      <w:t xml:space="preserve">Aspects juridiques et cadre légal - Ultimate DJ | 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b w:val="false"/>
        <w:i w:val="false"/>
        <w:sz w:val="20"/>
      </w:rPr>
      <w:t xml:space="preserve">Aspects juridiques et cadre légal - Ultimate DJ | 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LibreOffice/26.2.6.3$Windows_X86_64 LibreOffice_project/8221e31b3ac356a1623c672912a3d2b492f7e3d1</Application>
  <AppVersion>15.0000</AppVersion>
  <Pages>11</Pages>
  <Words>3250</Words>
  <Characters>19878</Characters>
  <CharactersWithSpaces>22856</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2026-10-11T09:52:13Z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