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fontTable.xml" ContentType="application/vnd.openxmlformats-officedocument.wordprocessingml.fontTable+xml"/>
  <Override PartName="/word/glossary/settings.xml" ContentType="application/vnd.openxmlformats-officedocument.wordprocessingml.settings+xml"/>
  <Override PartName="/word/glossary/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andard"/>
        <w:rPr>
          <w:rFonts w:ascii="Times New Roman" w:hAnsi="Times New Roman" w:cs="Times New Roman"/>
        </w:rPr>
      </w:pPr>
      <w:r>
        <w:rPr>
          <w:rFonts w:cs="Times New Roman" w:ascii="Times New Roman" w:hAnsi="Times New Roman"/>
        </w:rPr>
      </w:r>
    </w:p>
    <w:p>
      <w:pPr>
        <w:pStyle w:val="Standard"/>
        <w:rPr>
          <w:rFonts w:ascii="Times New Roman" w:hAnsi="Times New Roman" w:cs="Times New Roman"/>
        </w:rPr>
      </w:pPr>
      <w:r>
        <w:rPr>
          <w:rFonts w:cs="Times New Roman" w:ascii="Times New Roman" w:hAnsi="Times New Roman"/>
        </w:rPr>
      </w:r>
    </w:p>
    <w:p>
      <w:pPr>
        <w:pStyle w:val="Standard"/>
        <w:rPr>
          <w:rFonts w:ascii="Times New Roman" w:hAnsi="Times New Roman" w:cs="Times New Roman"/>
        </w:rPr>
      </w:pPr>
      <w:r>
        <w:rPr>
          <w:rFonts w:cs="Times New Roman" w:ascii="Times New Roman" w:hAnsi="Times New Roman"/>
        </w:rPr>
      </w:r>
    </w:p>
    <w:p>
      <w:pPr>
        <w:pStyle w:val="Standard"/>
        <w:rPr>
          <w:rFonts w:ascii="Times New Roman" w:hAnsi="Times New Roman" w:cs="Times New Roman"/>
        </w:rPr>
      </w:pPr>
      <w:r>
        <w:rPr>
          <w:rFonts w:cs="Times New Roman" w:ascii="Times New Roman" w:hAnsi="Times New Roman"/>
        </w:rPr>
      </w:r>
    </w:p>
    <w:p>
      <w:pPr>
        <w:pStyle w:val="Standard"/>
        <w:rPr>
          <w:rFonts w:ascii="Times New Roman" w:hAnsi="Times New Roman" w:cs="Times New Roman"/>
        </w:rPr>
      </w:pPr>
      <w:r>
        <w:rPr>
          <w:rFonts w:cs="Times New Roman" w:ascii="Times New Roman" w:hAnsi="Times New Roman"/>
        </w:rPr>
      </w:r>
    </w:p>
    <w:p>
      <w:pPr>
        <w:pStyle w:val="Standard"/>
        <w:rPr>
          <w:rFonts w:ascii="Times New Roman" w:hAnsi="Times New Roman" w:cs="Times New Roman"/>
        </w:rPr>
      </w:pPr>
      <w:r>
        <w:rPr>
          <w:rFonts w:cs="Times New Roman" w:ascii="Times New Roman" w:hAnsi="Times New Roman"/>
        </w:rPr>
      </w:r>
    </w:p>
    <w:p>
      <w:pPr>
        <w:pStyle w:val="Standard"/>
        <w:rPr>
          <w:rFonts w:ascii="Times New Roman" w:hAnsi="Times New Roman" w:cs="Times New Roman"/>
        </w:rPr>
      </w:pPr>
      <w:r>
        <w:rPr>
          <w:rFonts w:cs="Times New Roman" w:ascii="Times New Roman" w:hAnsi="Times New Roman"/>
        </w:rPr>
      </w:r>
    </w:p>
    <w:p>
      <w:pPr>
        <w:pStyle w:val="Standard"/>
        <w:rPr>
          <w:rFonts w:ascii="Times New Roman" w:hAnsi="Times New Roman" w:cs="Times New Roman"/>
          <w:color w:themeColor="accent2" w:themeShade="80" w:val="833C0B"/>
          <w:sz w:val="36"/>
        </w:rPr>
      </w:pPr>
      <w:r>
        <w:rPr>
          <w:rFonts w:cs="Times New Roman" w:ascii="Times New Roman" w:hAnsi="Times New Roman"/>
          <w:color w:themeColor="accent2" w:themeShade="80" w:val="833C0B"/>
          <w:sz w:val="36"/>
        </w:rPr>
      </w:r>
    </w:p>
    <w:p>
      <w:pPr>
        <w:pStyle w:val="Heading1"/>
        <w:spacing w:before="0" w:after="120"/>
        <w:jc w:val="center"/>
        <w:rPr>
          <w:rFonts w:ascii="Times New Roman" w:hAnsi="Times New Roman" w:cs="Times New Roman"/>
          <w:color w:themeColor="accent2" w:themeShade="80" w:val="833C0B"/>
          <w:sz w:val="56"/>
          <w:szCs w:val="44"/>
        </w:rPr>
      </w:pPr>
      <w:bookmarkStart w:id="0" w:name="_Toc345236654"/>
      <w:r>
        <w:rPr>
          <w:rFonts w:cs="Times New Roman" w:ascii="Times New Roman" w:hAnsi="Times New Roman"/>
          <w:color w:themeColor="accent2" w:themeShade="80" w:val="833C0B"/>
          <w:sz w:val="56"/>
          <w:szCs w:val="44"/>
        </w:rPr>
        <w:t>BUSINESS PLAN</w:t>
      </w:r>
      <w:bookmarkEnd w:id="0"/>
    </w:p>
    <w:p>
      <w:pPr>
        <w:pStyle w:val="Standard"/>
        <w:rPr>
          <w:rFonts w:hint="eastAsia"/>
        </w:rPr>
      </w:pPr>
      <w:r>
        <w:rPr>
          <w:rFonts w:hint="eastAsia"/>
        </w:rPr>
      </w:r>
    </w:p>
    <w:p>
      <w:pPr>
        <w:pStyle w:val="Standard"/>
        <w:rPr>
          <w:rFonts w:hint="eastAsia"/>
        </w:rPr>
      </w:pPr>
      <w:r>
        <w:rPr>
          <w:rFonts w:hint="eastAsia"/>
        </w:rPr>
      </w:r>
    </w:p>
    <w:p>
      <w:pPr>
        <w:pStyle w:val="Standard"/>
        <w:rPr>
          <w:rFonts w:ascii="Times New Roman" w:hAnsi="Times New Roman" w:cs="Times New Roman"/>
        </w:rPr>
      </w:pPr>
      <w:r>
        <w:rPr>
          <w:rFonts w:cs="Times New Roman" w:ascii="Times New Roman" w:hAnsi="Times New Roman"/>
        </w:rPr>
      </w:r>
    </w:p>
    <w:p>
      <w:pPr>
        <w:pStyle w:val="Standard"/>
        <w:rPr>
          <w:rFonts w:ascii="Times New Roman" w:hAnsi="Times New Roman" w:cs="Times New Roman"/>
        </w:rPr>
      </w:pPr>
      <w:r>
        <w:rPr>
          <w:rFonts w:cs="Times New Roman" w:ascii="Times New Roman" w:hAnsi="Times New Roman"/>
        </w:rPr>
      </w:r>
    </w:p>
    <w:p>
      <w:pPr>
        <w:pStyle w:val="Heading1"/>
        <w:jc w:val="center"/>
        <w:rPr>
          <w:rFonts w:ascii="Times New Roman" w:hAnsi="Times New Roman" w:cs="Times New Roman"/>
          <w:sz w:val="44"/>
          <w:szCs w:val="44"/>
        </w:rPr>
      </w:pPr>
      <w:r>
        <w:rPr>
          <w:rFonts w:cs="Times New Roman" w:ascii="Times New Roman" w:hAnsi="Times New Roman"/>
          <w:sz w:val="44"/>
          <w:szCs w:val="44"/>
        </w:rPr>
        <mc:AlternateContent>
          <mc:Choice Requires="wps">
            <w:drawing>
              <wp:anchor distT="19050" distB="40005" distL="19050" distR="35560" simplePos="0" relativeHeight="2" behindDoc="0" locked="0" layoutInCell="1" allowOverlap="1" wp14:anchorId="008EF026">
                <wp:simplePos x="0" y="0"/>
                <wp:positionH relativeFrom="column">
                  <wp:posOffset>502285</wp:posOffset>
                </wp:positionH>
                <wp:positionV relativeFrom="paragraph">
                  <wp:posOffset>66040</wp:posOffset>
                </wp:positionV>
                <wp:extent cx="5146040" cy="1541780"/>
                <wp:effectExtent l="28575" t="28575" r="29845" b="29845"/>
                <wp:wrapNone/>
                <wp:docPr id="1" name="Cadre 1"/>
                <a:graphic xmlns:a="http://schemas.openxmlformats.org/drawingml/2006/main">
                  <a:graphicData uri="http://schemas.microsoft.com/office/word/2010/wordprocessingShape">
                    <wps:wsp>
                      <wps:cNvSpPr/>
                      <wps:spPr>
                        <a:xfrm>
                          <a:off x="0" y="0"/>
                          <a:ext cx="5146200" cy="1541880"/>
                        </a:xfrm>
                        <a:prstGeom prst="frame">
                          <a:avLst>
                            <a:gd name="adj1" fmla="val 12500"/>
                          </a:avLst>
                        </a:prstGeom>
                        <a:solidFill>
                          <a:schemeClr val="accent2">
                            <a:lumMod val="60000"/>
                            <a:lumOff val="40000"/>
                          </a:schemeClr>
                        </a:solidFill>
                        <a:ln w="57150">
                          <a:solidFill>
                            <a:srgbClr val="000000"/>
                          </a:solidFill>
                        </a:ln>
                      </wps:spPr>
                      <wps:style>
                        <a:lnRef idx="2">
                          <a:schemeClr val="accent1">
                            <a:shade val="50000"/>
                          </a:schemeClr>
                        </a:lnRef>
                        <a:fillRef idx="1">
                          <a:schemeClr val="accent1"/>
                        </a:fillRef>
                        <a:effectRef idx="0">
                          <a:schemeClr val="accent1"/>
                        </a:effectRef>
                        <a:fontRef idx="minor"/>
                      </wps:style>
                      <wps:txbx>
                        <w:txbxContent>
                          <w:p>
                            <w:pPr>
                              <w:pStyle w:val="Standard"/>
                              <w:jc w:val="center"/>
                              <w:rPr>
                                <w:rFonts w:ascii="Times New Roman" w:hAnsi="Times New Roman" w:cs="Times New Roman"/>
                                <w:b/>
                                <w:bCs/>
                                <w:color w:themeColor="text1" w:val="000000"/>
                                <w:sz w:val="44"/>
                                <w:szCs w:val="28"/>
                              </w:rPr>
                            </w:pPr>
                            <w:r>
                              <w:rPr>
                                <w:rFonts w:cs="Times New Roman" w:ascii="Times New Roman" w:hAnsi="Times New Roman"/>
                                <w:b/>
                                <w:bCs/>
                                <w:color w:themeColor="text1" w:val="000000"/>
                                <w:sz w:val="44"/>
                                <w:szCs w:val="28"/>
                              </w:rPr>
                              <w:t>GESTION DES PRESTATIONS DJ ET ANIMATION EVENEMENTIELLE</w:t>
                            </w:r>
                          </w:p>
                          <w:p>
                            <w:pPr>
                              <w:pStyle w:val="Contenudecadre"/>
                              <w:jc w:val="center"/>
                              <w:rPr>
                                <w:rFonts w:hint="eastAsia"/>
                                <w:color w:themeColor="text1" w:val="000000"/>
                                <w:sz w:val="32"/>
                              </w:rPr>
                            </w:pPr>
                            <w:r>
                              <w:rPr>
                                <w:color w:val="FFFFFF"/>
                              </w:rPr>
                            </w:r>
                          </w:p>
                        </w:txbxContent>
                      </wps:txbx>
                      <wps:bodyPr anchor="ctr">
                        <a:prstTxWarp prst="textNoShape"/>
                        <a:noAutofit/>
                      </wps:bodyPr>
                    </wps:wsp>
                  </a:graphicData>
                </a:graphic>
              </wp:anchor>
            </w:drawing>
          </mc:Choice>
          <mc:Fallback>
            <w:pict/>
          </mc:Fallback>
        </mc:AlternateContent>
      </w:r>
      <w:bookmarkStart w:id="1" w:name="_Toc345236655"/>
      <w:bookmarkEnd w:id="1"/>
    </w:p>
    <w:p>
      <w:pPr>
        <w:pStyle w:val="Standard"/>
        <w:jc w:val="center"/>
        <w:rPr>
          <w:rFonts w:ascii="Times New Roman" w:hAnsi="Times New Roman" w:cs="Times New Roman"/>
          <w:sz w:val="32"/>
          <w:szCs w:val="32"/>
        </w:rPr>
      </w:pPr>
      <w:r>
        <w:rPr>
          <w:rFonts w:cs="Times New Roman" w:ascii="Times New Roman" w:hAnsi="Times New Roman"/>
          <w:sz w:val="32"/>
          <w:szCs w:val="32"/>
        </w:rPr>
      </w:r>
    </w:p>
    <w:p>
      <w:pPr>
        <w:pStyle w:val="Standard"/>
        <w:jc w:val="center"/>
        <w:rPr>
          <w:rFonts w:ascii="Times New Roman" w:hAnsi="Times New Roman" w:cs="Times New Roman"/>
          <w:sz w:val="32"/>
          <w:szCs w:val="32"/>
        </w:rPr>
      </w:pPr>
      <w:r>
        <w:rPr>
          <w:rFonts w:cs="Times New Roman" w:ascii="Times New Roman" w:hAnsi="Times New Roman"/>
          <w:sz w:val="32"/>
          <w:szCs w:val="32"/>
        </w:rPr>
      </w:r>
    </w:p>
    <w:p>
      <w:pPr>
        <w:pStyle w:val="Standard"/>
        <w:jc w:val="center"/>
        <w:rPr>
          <w:rFonts w:ascii="Times New Roman" w:hAnsi="Times New Roman" w:cs="Times New Roman"/>
          <w:sz w:val="32"/>
          <w:szCs w:val="32"/>
        </w:rPr>
      </w:pPr>
      <w:r>
        <w:rPr>
          <w:rFonts w:cs="Times New Roman" w:ascii="Times New Roman" w:hAnsi="Times New Roman"/>
          <w:sz w:val="32"/>
          <w:szCs w:val="32"/>
        </w:rPr>
      </w:r>
    </w:p>
    <w:p>
      <w:pPr>
        <w:pStyle w:val="Standard"/>
        <w:jc w:val="center"/>
        <w:rPr>
          <w:rFonts w:ascii="Times New Roman" w:hAnsi="Times New Roman" w:cs="Times New Roman"/>
          <w:sz w:val="32"/>
          <w:szCs w:val="32"/>
        </w:rPr>
      </w:pPr>
      <w:r>
        <w:rPr>
          <w:rFonts w:cs="Times New Roman" w:ascii="Times New Roman" w:hAnsi="Times New Roman"/>
          <w:sz w:val="32"/>
          <w:szCs w:val="32"/>
        </w:rPr>
      </w:r>
    </w:p>
    <w:p>
      <w:pPr>
        <w:pStyle w:val="Standard"/>
        <w:jc w:val="center"/>
        <w:rPr>
          <w:rFonts w:ascii="Times New Roman" w:hAnsi="Times New Roman" w:cs="Times New Roman"/>
          <w:sz w:val="32"/>
          <w:szCs w:val="32"/>
        </w:rPr>
      </w:pPr>
      <w:r>
        <w:rPr>
          <w:rFonts w:cs="Times New Roman" w:ascii="Times New Roman" w:hAnsi="Times New Roman"/>
          <w:sz w:val="32"/>
          <w:szCs w:val="32"/>
        </w:rPr>
      </w:r>
    </w:p>
    <w:p>
      <w:pPr>
        <w:pStyle w:val="Standard"/>
        <w:jc w:val="center"/>
        <w:rPr>
          <w:rFonts w:ascii="Times New Roman" w:hAnsi="Times New Roman" w:cs="Times New Roman"/>
          <w:sz w:val="32"/>
          <w:szCs w:val="32"/>
        </w:rPr>
      </w:pPr>
      <w:r>
        <w:rPr>
          <w:rFonts w:cs="Times New Roman" w:ascii="Times New Roman" w:hAnsi="Times New Roman"/>
          <w:sz w:val="32"/>
          <w:szCs w:val="32"/>
        </w:rPr>
      </w:r>
    </w:p>
    <w:p>
      <w:pPr>
        <w:pStyle w:val="Standard"/>
        <w:jc w:val="center"/>
        <w:rPr>
          <w:rFonts w:ascii="Times New Roman" w:hAnsi="Times New Roman" w:cs="Times New Roman"/>
          <w:sz w:val="32"/>
          <w:szCs w:val="32"/>
        </w:rPr>
      </w:pPr>
      <w:r>
        <w:rPr>
          <w:rFonts w:cs="Times New Roman" w:ascii="Times New Roman" w:hAnsi="Times New Roman"/>
          <w:sz w:val="32"/>
          <w:szCs w:val="32"/>
        </w:rPr>
      </w:r>
    </w:p>
    <w:p>
      <w:pPr>
        <w:pStyle w:val="Standard"/>
        <w:jc w:val="center"/>
        <w:rPr>
          <w:rFonts w:ascii="Arial Black" w:hAnsi="Arial Black" w:cs="Times New Roman"/>
          <w:sz w:val="44"/>
        </w:rPr>
      </w:pPr>
      <w:r>
        <w:rPr>
          <w:rFonts w:cs="Times New Roman" w:ascii="Arial Black" w:hAnsi="Arial Black"/>
          <w:sz w:val="44"/>
        </w:rPr>
      </w:r>
    </w:p>
    <w:p>
      <w:pPr>
        <w:pStyle w:val="Standard"/>
        <w:jc w:val="center"/>
        <w:rPr>
          <w:rFonts w:ascii="Arial Black" w:hAnsi="Arial Black" w:cs="Times New Roman"/>
          <w:b/>
          <w:bCs/>
          <w:sz w:val="44"/>
        </w:rPr>
      </w:pPr>
      <w:r>
        <w:rPr>
          <w:rFonts w:cs="Times New Roman" w:ascii="Arial Black" w:hAnsi="Arial Black"/>
          <w:b/>
          <w:bCs/>
          <w:sz w:val="44"/>
        </w:rPr>
        <w:t>TCHAMAKO Vianney Dimitri</w:t>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jc w:val="center"/>
        <w:rPr>
          <w:rFonts w:ascii="Times New Roman" w:hAnsi="Times New Roman" w:cs="Times New Roman"/>
        </w:rPr>
      </w:pPr>
      <w:r>
        <w:rPr>
          <w:rFonts w:cs="Times New Roman" w:ascii="Times New Roman" w:hAnsi="Times New Roman"/>
        </w:rPr>
      </w:r>
    </w:p>
    <w:p>
      <w:pPr>
        <w:pStyle w:val="Standard"/>
        <w:rPr>
          <w:rFonts w:ascii="Times New Roman" w:hAnsi="Times New Roman" w:cs="Times New Roman"/>
        </w:rPr>
      </w:pPr>
      <w:r>
        <w:rPr>
          <w:rFonts w:cs="Times New Roman" w:ascii="Times New Roman" w:hAnsi="Times New Roman"/>
        </w:rPr>
        <mc:AlternateContent>
          <mc:Choice Requires="wps">
            <w:drawing>
              <wp:anchor distT="0" distB="17780" distL="0" distR="20955" simplePos="0" relativeHeight="4" behindDoc="0" locked="0" layoutInCell="1" allowOverlap="1" wp14:anchorId="314B6C2D">
                <wp:simplePos x="0" y="0"/>
                <wp:positionH relativeFrom="column">
                  <wp:posOffset>1682115</wp:posOffset>
                </wp:positionH>
                <wp:positionV relativeFrom="paragraph">
                  <wp:posOffset>113665</wp:posOffset>
                </wp:positionV>
                <wp:extent cx="2456180" cy="382905"/>
                <wp:effectExtent l="6350" t="6985" r="6985" b="6350"/>
                <wp:wrapNone/>
                <wp:docPr id="2" name="Cadre 2"/>
                <a:graphic xmlns:a="http://schemas.openxmlformats.org/drawingml/2006/main">
                  <a:graphicData uri="http://schemas.microsoft.com/office/word/2010/wordprocessingShape">
                    <wps:wsp>
                      <wps:cNvSpPr/>
                      <wps:spPr>
                        <a:xfrm>
                          <a:off x="0" y="0"/>
                          <a:ext cx="2456280" cy="383040"/>
                        </a:xfrm>
                        <a:prstGeom prst="frame">
                          <a:avLst>
                            <a:gd name="adj1" fmla="val 12500"/>
                          </a:avLst>
                        </a:prstGeom>
                        <a:solidFill>
                          <a:schemeClr val="accent2">
                            <a:lumMod val="60000"/>
                            <a:lumOff val="40000"/>
                          </a:schemeClr>
                        </a:solidFill>
                        <a:ln>
                          <a:solidFill>
                            <a:srgbClr val="000000"/>
                          </a:solidFill>
                        </a:ln>
                      </wps:spPr>
                      <wps:style>
                        <a:lnRef idx="2">
                          <a:schemeClr val="accent1">
                            <a:shade val="50000"/>
                          </a:schemeClr>
                        </a:lnRef>
                        <a:fillRef idx="1">
                          <a:schemeClr val="accent1"/>
                        </a:fillRef>
                        <a:effectRef idx="0">
                          <a:schemeClr val="accent1"/>
                        </a:effectRef>
                        <a:fontRef idx="minor"/>
                      </wps:style>
                      <wps:txbx>
                        <w:txbxContent>
                          <w:p>
                            <w:pPr>
                              <w:pStyle w:val="Standard"/>
                              <w:jc w:val="center"/>
                              <w:rPr>
                                <w:rFonts w:ascii="Times New Roman" w:hAnsi="Times New Roman" w:cs="Times New Roman"/>
                                <w:b/>
                                <w:bCs/>
                                <w:color w:themeColor="text1" w:val="000000"/>
                              </w:rPr>
                            </w:pPr>
                            <w:r>
                              <w:rPr>
                                <w:rFonts w:cs="Times New Roman" w:ascii="Times New Roman" w:hAnsi="Times New Roman"/>
                                <w:b/>
                                <w:bCs/>
                                <w:color w:themeColor="text1" w:val="000000"/>
                              </w:rPr>
                              <w:t>2025-2026</w:t>
                            </w:r>
                          </w:p>
                          <w:p>
                            <w:pPr>
                              <w:pStyle w:val="Contenudecadre"/>
                              <w:jc w:val="center"/>
                              <w:rPr>
                                <w:rFonts w:hint="eastAsia"/>
                                <w:color w:themeColor="text1" w:val="000000"/>
                                <w:sz w:val="32"/>
                              </w:rPr>
                            </w:pPr>
                            <w:r>
                              <w:rPr>
                                <w:color w:val="FFFFFF"/>
                              </w:rPr>
                            </w:r>
                          </w:p>
                        </w:txbxContent>
                      </wps:txbx>
                      <wps:bodyPr anchor="ctr">
                        <a:prstTxWarp prst="textNoShape"/>
                        <a:noAutofit/>
                      </wps:bodyPr>
                    </wps:wsp>
                  </a:graphicData>
                </a:graphic>
              </wp:anchor>
            </w:drawing>
          </mc:Choice>
          <mc:Fallback>
            <w:pict/>
          </mc:Fallback>
        </mc:AlternateContent>
      </w:r>
    </w:p>
    <w:p>
      <w:pPr>
        <w:pStyle w:val="Standard"/>
        <w:spacing w:before="0" w:after="0"/>
        <w:jc w:val="center"/>
        <w:rPr>
          <w:rFonts w:ascii="Times New Roman" w:hAnsi="Times New Roman" w:cs="Times New Roman"/>
        </w:rPr>
        <w:sectPr>
          <w:footerReference w:type="even" r:id="rId2"/>
          <w:footerReference w:type="default" r:id="rId3"/>
          <w:footerReference w:type="first" r:id="rId4"/>
          <w:type w:val="nextPage"/>
          <w:pgSz w:w="11906" w:h="16838"/>
          <w:pgMar w:left="1134" w:right="1134" w:gutter="0" w:header="0" w:top="1134" w:footer="1474" w:bottom="1560"/>
          <w:pgNumType w:fmt="decimal"/>
          <w:formProt w:val="false"/>
          <w:textDirection w:val="lrTb"/>
          <w:docGrid w:type="default" w:linePitch="326" w:charSpace="0"/>
        </w:sectPr>
      </w:pPr>
      <w:r>
        <w:rPr>
          <w:rFonts w:cs="Times New Roman" w:ascii="Times New Roman" w:hAnsi="Times New Roman"/>
        </w:rPr>
      </w:r>
    </w:p>
    <w:p>
      <w:pPr>
        <w:pStyle w:val="Normal"/>
        <w:spacing w:lineRule="auto" w:line="276" w:before="0" w:after="240"/>
        <w:jc w:val="center"/>
        <w:rPr/>
      </w:pPr>
      <w:r>
        <w:rPr>
          <w:rFonts w:ascii="Times New Roman" w:hAnsi="Times New Roman"/>
          <w:b/>
          <w:sz w:val="24"/>
        </w:rPr>
        <w:t>TABLE DES MATIÈRES</w:t>
      </w:r>
    </w:p>
    <w:sdt>
      <w:sdtPr>
        <w:docPartObj>
          <w:docPartGallery w:val="Table of Contents"/>
          <w:docPartUnique w:val="true"/>
        </w:docPartObj>
      </w:sdtPr>
      <w:sdtContent>
        <w:p>
          <w:pPr>
            <w:pStyle w:val="Normal"/>
            <w:spacing w:lineRule="auto" w:line="276" w:before="0" w:after="120"/>
            <w:rPr/>
          </w:pPr>
          <w:r>
            <w:fldChar w:fldCharType="begin"/>
          </w:r>
          <w:r>
            <w:rPr>
              <w:rFonts w:ascii="Times New Roman" w:hAnsi="Times New Roman"/>
            </w:rPr>
            <w:instrText xml:space="preserve"> TOC \z \o "1-3" \u \h</w:instrText>
          </w:r>
          <w:r>
            <w:rPr>
              <w:rFonts w:ascii="Times New Roman" w:hAnsi="Times New Roman"/>
            </w:rPr>
            <w:fldChar w:fldCharType="separate"/>
          </w:r>
          <w:r>
            <w:rPr>
              <w:rFonts w:ascii="Times New Roman" w:hAnsi="Times New Roman"/>
            </w:rPr>
            <w:t>Introduction ........................................ 4</w:t>
            <w:br/>
            <w:t>1. Résumé du projet ........................................ 5</w:t>
            <w:br/>
            <w:t>2. Objectifs du projet ........................................ 5</w:t>
            <w:br/>
            <w:t>3. Marché cible et positionnement ........................................ 6</w:t>
            <w:br/>
            <w:t>4. Offre et parcours de service ........................................ 7</w:t>
            <w:br/>
            <w:t>5. Analyse de l’environnement ........................................ 7</w:t>
            <w:br/>
            <w:t>6. Modèle économique ........................................ 8</w:t>
            <w:br/>
            <w:t>6.5 Trésorerie mensuelle prévisionnelle ........................................ 10</w:t>
            <w:br/>
            <w:t>6.6 Scénarios financiers ........................................ 12</w:t>
            <w:br/>
            <w:t>7. Analyse SWOT ........................................ 13</w:t>
            <w:br/>
            <w:t>8. Stratégie commerciale et marketing ........................................ 13</w:t>
            <w:br/>
            <w:t>8.1 Plan de lancement sur douze mois ........................................ 14</w:t>
            <w:br/>
            <w:t>9. Moyens de production et organisation ........................................ 15</w:t>
            <w:br/>
            <w:t>9.1 Passage vers les paiements réels ........................................ 15</w:t>
            <w:br/>
            <w:t>10. Statut juridique et gouvernance ........................................ 16</w:t>
            <w:br/>
            <w:t>11. Gestion des risques ........................................ 16</w:t>
            <w:br/>
            <w:t>12. Indicateurs de pilotage ........................................ 16</w:t>
            <w:br/>
            <w:t>Conclusion générale ........................................ 17</w:t>
            <w:br/>
            <w:t>Bibliographie ........................................ 18</w:t>
          </w:r>
          <w:r>
            <w:rPr>
              <w:rFonts w:ascii="Times New Roman" w:hAnsi="Times New Roman"/>
            </w:rPr>
            <w:fldChar w:fldCharType="end"/>
          </w:r>
        </w:p>
      </w:sdtContent>
    </w:sdt>
    <w:p>
      <w:pPr>
        <w:pStyle w:val="Normal"/>
        <w:rPr/>
      </w:pPr>
      <w:r>
        <w:rPr/>
      </w:r>
      <w:r>
        <w:br w:type="page"/>
      </w:r>
    </w:p>
    <w:p>
      <w:pPr>
        <w:pStyle w:val="Heading1"/>
        <w:spacing w:lineRule="auto" w:line="276" w:before="0" w:after="120"/>
        <w:rPr/>
      </w:pPr>
      <w:r>
        <w:rPr>
          <w:rFonts w:ascii="Times New Roman" w:hAnsi="Times New Roman"/>
          <w:b/>
          <w:sz w:val="24"/>
        </w:rPr>
        <w:t>Introduction</w:t>
      </w:r>
    </w:p>
    <w:p>
      <w:pPr>
        <w:pStyle w:val="Normal"/>
        <w:spacing w:lineRule="auto" w:line="276" w:before="0" w:after="120"/>
        <w:rPr/>
      </w:pPr>
      <w:r>
        <w:rPr>
          <w:rFonts w:ascii="Times New Roman" w:hAnsi="Times New Roman"/>
          <w:sz w:val="24"/>
        </w:rPr>
        <w:t>Dans ce business plan, je présente Ultimate DJ et la manière dont je souhaite faire évoluer ce projet. Mon point de départ est simple : une prestation DJ comporte beaucoup d'étapes, souvent gérées dans des messages, des appels et des documents dispersés. J'ai donc imaginé une application qui rend ce parcours plus clair pour le client, le DJ et l'administrateur.</w:t>
      </w:r>
    </w:p>
    <w:p>
      <w:pPr>
        <w:pStyle w:val="Normal"/>
        <w:spacing w:lineRule="auto" w:line="276" w:before="0" w:after="120"/>
        <w:rPr/>
      </w:pPr>
      <w:r>
        <w:rPr>
          <w:rFonts w:ascii="Times New Roman" w:hAnsi="Times New Roman"/>
          <w:sz w:val="24"/>
        </w:rPr>
        <w:t>J'ai utilisé ChatGPT comme outil d'assistance ponctuel pour relire certaines formulations, corriger des fautes, reformuler des passages et m'aider à organiser le document. Les choix présentés dans ce travail - le positionnement, les fonctionnalités, les hypothèses financières et les priorités du projet - viennent de ma propre réflexion et de mon travail sur l'application.</w:t>
      </w:r>
      <w:r>
        <w:rPr>
          <w:rStyle w:val="FootnoteReference"/>
          <w:rFonts w:ascii="Times New Roman" w:hAnsi="Times New Roman"/>
          <w:sz w:val="24"/>
        </w:rPr>
        <w:footnoteReference w:id="2"/>
      </w:r>
    </w:p>
    <w:p>
      <w:pPr>
        <w:pStyle w:val="Normal"/>
        <w:rPr/>
      </w:pPr>
      <w:r>
        <w:rPr/>
      </w:r>
      <w:r>
        <w:br w:type="page"/>
      </w:r>
    </w:p>
    <w:p>
      <w:pPr>
        <w:pStyle w:val="Heading1"/>
        <w:spacing w:lineRule="auto" w:line="276" w:before="0" w:after="120"/>
        <w:rPr/>
      </w:pPr>
      <w:r>
        <w:rPr>
          <w:rFonts w:ascii="Times New Roman" w:hAnsi="Times New Roman"/>
          <w:b/>
          <w:sz w:val="24"/>
        </w:rPr>
        <w:t>1. Résumé du projet</w:t>
      </w:r>
    </w:p>
    <w:p>
      <w:pPr>
        <w:pStyle w:val="Normal"/>
        <w:spacing w:lineRule="auto" w:line="276" w:before="0" w:after="120"/>
        <w:rPr/>
      </w:pPr>
      <w:r>
        <w:rPr>
          <w:rFonts w:ascii="Times New Roman" w:hAnsi="Times New Roman"/>
          <w:sz w:val="24"/>
        </w:rPr>
        <w:t>Ultimate DJ est une application web de gestion de prestations DJ pour des événements privés. Elle réunit dans un même parcours la demande de devis, l’affectation d’un DJ, la contractualisation, le paiement, la préparation de l’événement, la clôture et l’avis client. Le projet vise d’abord le marché belge des mariages, anniversaires et soirées privées.</w:t>
      </w:r>
    </w:p>
    <w:p>
      <w:pPr>
        <w:pStyle w:val="Normal"/>
        <w:spacing w:lineRule="auto" w:line="276" w:before="0" w:after="120"/>
        <w:rPr/>
      </w:pPr>
      <w:r>
        <w:rPr>
          <w:rFonts w:ascii="Times New Roman" w:hAnsi="Times New Roman"/>
          <w:sz w:val="24"/>
        </w:rPr>
        <w:t>Le produit développé constitue un MVP fonctionnel : les rôles client, DJ et administrateur sont séparés ; les disponibilités, devis, contrats, factures, paiements Stripe en environnement de test, rendez-vous préparatoires, playlists, messagerie, notifications, historique et exports sont pris en charge. Les abonnements DJ, la publicité et les commissions automatiques ne font pas partie de la version actuelle ; ils sont envisagés comme évolutions commerciales.</w:t>
      </w:r>
    </w:p>
    <w:p>
      <w:pPr>
        <w:pStyle w:val="Heading1"/>
        <w:spacing w:lineRule="auto" w:line="276" w:before="240" w:after="120"/>
        <w:rPr/>
      </w:pPr>
      <w:r>
        <w:rPr>
          <w:rFonts w:ascii="Times New Roman" w:hAnsi="Times New Roman"/>
          <w:b/>
          <w:sz w:val="24"/>
        </w:rPr>
        <w:t>2. Objectifs du projet</w:t>
      </w:r>
    </w:p>
    <w:p>
      <w:pPr>
        <w:pStyle w:val="Heading2"/>
        <w:spacing w:lineRule="auto" w:line="276" w:before="160" w:after="120"/>
        <w:rPr/>
      </w:pPr>
      <w:r>
        <w:rPr>
          <w:rFonts w:ascii="Times New Roman" w:hAnsi="Times New Roman"/>
          <w:b/>
          <w:sz w:val="24"/>
        </w:rPr>
        <w:t>2.1 Objectif principal</w:t>
      </w:r>
    </w:p>
    <w:p>
      <w:pPr>
        <w:pStyle w:val="Normal"/>
        <w:spacing w:lineRule="auto" w:line="276" w:before="0" w:after="120"/>
        <w:rPr/>
      </w:pPr>
      <w:r>
        <w:rPr>
          <w:rFonts w:ascii="Times New Roman" w:hAnsi="Times New Roman"/>
          <w:sz w:val="24"/>
        </w:rPr>
        <w:t>Créer une solution professionnelle qui structure une prestation DJ de la première demande jusqu’au paiement du solde, tout en donnant à chaque acteur une visibilité sur l’état du dossier.</w:t>
      </w:r>
    </w:p>
    <w:p>
      <w:pPr>
        <w:pStyle w:val="Heading2"/>
        <w:spacing w:lineRule="auto" w:line="276" w:before="160" w:after="120"/>
        <w:rPr/>
      </w:pPr>
      <w:r>
        <w:rPr>
          <w:rFonts w:ascii="Times New Roman" w:hAnsi="Times New Roman"/>
          <w:b/>
          <w:sz w:val="24"/>
        </w:rPr>
        <w:t>2.2 Objectifs spécifiques</w:t>
      </w:r>
    </w:p>
    <w:p>
      <w:pPr>
        <w:pStyle w:val="Normal"/>
        <w:spacing w:lineRule="auto" w:line="276" w:before="0" w:after="120"/>
        <w:ind w:hanging="240" w:start="360"/>
        <w:rPr/>
      </w:pPr>
      <w:r>
        <w:rPr>
          <w:rFonts w:ascii="Times New Roman" w:hAnsi="Times New Roman"/>
          <w:sz w:val="24"/>
        </w:rPr>
        <w:t xml:space="preserve">• </w:t>
      </w:r>
      <w:r>
        <w:rPr>
          <w:rFonts w:ascii="Times New Roman" w:hAnsi="Times New Roman"/>
          <w:sz w:val="24"/>
        </w:rPr>
        <w:t>Permettre au client de comparer des formules, demander un devis et suivre ses documents.</w:t>
      </w:r>
    </w:p>
    <w:p>
      <w:pPr>
        <w:pStyle w:val="Normal"/>
        <w:spacing w:lineRule="auto" w:line="276" w:before="0" w:after="120"/>
        <w:ind w:hanging="240" w:start="360"/>
        <w:rPr/>
      </w:pPr>
      <w:r>
        <w:rPr>
          <w:rFonts w:ascii="Times New Roman" w:hAnsi="Times New Roman"/>
          <w:sz w:val="24"/>
        </w:rPr>
        <w:t xml:space="preserve">• </w:t>
      </w:r>
      <w:r>
        <w:rPr>
          <w:rFonts w:ascii="Times New Roman" w:hAnsi="Times New Roman"/>
          <w:sz w:val="24"/>
        </w:rPr>
        <w:t>Permettre à l’administrateur d’affecter un DJ disponible, de suivre les paiements et de gérer les situations sensibles.</w:t>
      </w:r>
    </w:p>
    <w:p>
      <w:pPr>
        <w:pStyle w:val="Normal"/>
        <w:spacing w:lineRule="auto" w:line="276" w:before="0" w:after="120"/>
        <w:ind w:hanging="240" w:start="360"/>
        <w:rPr/>
      </w:pPr>
      <w:r>
        <w:rPr>
          <w:rFonts w:ascii="Times New Roman" w:hAnsi="Times New Roman"/>
          <w:sz w:val="24"/>
        </w:rPr>
        <w:t xml:space="preserve">• </w:t>
      </w:r>
      <w:r>
        <w:rPr>
          <w:rFonts w:ascii="Times New Roman" w:hAnsi="Times New Roman"/>
          <w:sz w:val="24"/>
        </w:rPr>
        <w:t>Permettre au DJ de gérer ses disponibilités, ses rendez-vous préparatoires, les demandes musicales et les avis.</w:t>
      </w:r>
    </w:p>
    <w:p>
      <w:pPr>
        <w:pStyle w:val="Normal"/>
        <w:spacing w:lineRule="auto" w:line="276" w:before="0" w:after="120"/>
        <w:ind w:hanging="240" w:start="360"/>
        <w:rPr/>
      </w:pPr>
      <w:r>
        <w:rPr>
          <w:rFonts w:ascii="Times New Roman" w:hAnsi="Times New Roman"/>
          <w:sz w:val="24"/>
        </w:rPr>
        <w:t xml:space="preserve">• </w:t>
      </w:r>
      <w:r>
        <w:rPr>
          <w:rFonts w:ascii="Times New Roman" w:hAnsi="Times New Roman"/>
          <w:sz w:val="24"/>
        </w:rPr>
        <w:t>Réduire les échanges dispersés grâce aux notifications, à la messagerie et à la traçabilité du dossier.</w:t>
      </w:r>
    </w:p>
    <w:p>
      <w:pPr>
        <w:pStyle w:val="Heading1"/>
        <w:spacing w:lineRule="auto" w:line="276" w:before="240" w:after="120"/>
        <w:rPr/>
      </w:pPr>
      <w:r>
        <w:rPr>
          <w:rFonts w:ascii="Times New Roman" w:hAnsi="Times New Roman"/>
          <w:b/>
          <w:sz w:val="24"/>
        </w:rPr>
        <w:t>3. Marché cible et positionnement</w:t>
      </w:r>
    </w:p>
    <w:p>
      <w:pPr>
        <w:pStyle w:val="Heading2"/>
        <w:spacing w:lineRule="auto" w:line="276" w:before="160" w:after="120"/>
        <w:rPr/>
      </w:pPr>
      <w:r>
        <w:rPr>
          <w:rFonts w:ascii="Times New Roman" w:hAnsi="Times New Roman"/>
          <w:b/>
          <w:sz w:val="24"/>
        </w:rPr>
        <w:t>3.1 Marché ciblé</w:t>
      </w:r>
    </w:p>
    <w:p>
      <w:pPr>
        <w:pStyle w:val="Normal"/>
        <w:spacing w:lineRule="auto" w:line="276" w:before="0" w:after="120"/>
        <w:rPr/>
      </w:pPr>
      <w:r>
        <w:rPr>
          <w:rFonts w:ascii="Times New Roman" w:hAnsi="Times New Roman"/>
          <w:sz w:val="24"/>
        </w:rPr>
        <w:t>Le lancement est volontairement limité à la Belgique et aux événements privés : mariages, anniversaires enfant et adulte, ainsi que soirées privées. Cette cible est cohérente avec les catégories actuellement proposées dans l’application. Le marché événementiel reste dépendant de la saisonnalité, de la confiance et de la disponibilité des prestataires ; la demande de services et le chiffre d’affaires des entreprises doivent être suivis avec des sources actualisées plutôt qu’avec des affirmations générales non chiffrées.</w:t>
      </w:r>
    </w:p>
    <w:p>
      <w:pPr>
        <w:pStyle w:val="Normal"/>
        <w:spacing w:lineRule="auto" w:line="276" w:before="0" w:after="120"/>
        <w:rPr/>
      </w:pPr>
      <w:r>
        <w:rPr>
          <w:rFonts w:ascii="Times New Roman" w:hAnsi="Times New Roman"/>
          <w:sz w:val="24"/>
        </w:rPr>
        <w:t>Le mariage constitue un indicateur concret, sans résumer à lui seul le marché visé. Statbel recense 48 589 mariages en Belgique en 2024. Pour construire un scénario prudent, je retiens l'hypothèse que 10 % de ces mariages peuvent rechercher une animation DJ, soit environ 4 859 occasions annuelles. Les anniversaires et soirées privées représentent un potentiel complémentaire, mais je ne les chiffre pas faute de statistique suffisamment précise.</w:t>
      </w:r>
      <w:r>
        <w:rPr>
          <w:rStyle w:val="FootnoteReference"/>
        </w:rPr>
        <w:footnoteReference w:id="3"/>
      </w:r>
    </w:p>
    <w:p>
      <w:pPr>
        <w:pStyle w:val="Normal"/>
        <w:spacing w:lineRule="auto" w:line="276" w:before="0" w:after="120"/>
        <w:rPr/>
      </w:pPr>
      <w:r>
        <w:rPr>
          <w:rFonts w:ascii="Times New Roman" w:hAnsi="Times New Roman"/>
          <w:sz w:val="24"/>
        </w:rPr>
        <w:t>Mon objectif de première année est de conclure 72 réservations, ce qui représenterait moins de 1,5 % de ce seul marché de mariages estimé. Le lancement peut commencer avec 8 DJs vérifiés, répartis entre Bruxelles, Anvers, Gand, Liège, Charleroi, Namur, Bruges et Haaltert. Avec cet effectif, l'objectif correspond à une moyenne de 9 réservations par DJ sur l'année ; il reste donc réaliste tout en évitant de recruter trop de profils avant d'avoir validé la demande.</w:t>
      </w:r>
    </w:p>
    <w:p>
      <w:pPr>
        <w:pStyle w:val="Heading2"/>
        <w:spacing w:lineRule="auto" w:line="276" w:before="160" w:after="120"/>
        <w:rPr/>
      </w:pPr>
      <w:r>
        <w:rPr>
          <w:rFonts w:ascii="Times New Roman" w:hAnsi="Times New Roman"/>
          <w:b/>
          <w:sz w:val="24"/>
        </w:rPr>
        <w:t>3.2 Clients et besoins</w:t>
      </w:r>
    </w:p>
    <w:p>
      <w:pPr>
        <w:pStyle w:val="Normal"/>
        <w:spacing w:lineRule="auto" w:line="276" w:before="0" w:after="120"/>
        <w:rPr/>
      </w:pPr>
      <w:r>
        <w:rPr>
          <w:rFonts w:ascii="Times New Roman" w:hAnsi="Times New Roman"/>
          <w:sz w:val="24"/>
        </w:rPr>
        <w:t>Le client recherche un DJ disponible, un prix compréhensible, des documents clairs et un paiement sécurisé. Le DJ recherche une organisation simple de ses créneaux et de ses dossiers. L’administrateur a besoin d’une vue centralisée pour éviter les conflits de disponibilité et pour suivre les contrats, paiements, annulations et réclamations.</w:t>
      </w:r>
    </w:p>
    <w:p>
      <w:pPr>
        <w:pStyle w:val="Heading2"/>
        <w:spacing w:lineRule="auto" w:line="276" w:before="160" w:after="120"/>
        <w:rPr/>
      </w:pPr>
      <w:r>
        <w:rPr>
          <w:rFonts w:ascii="Times New Roman" w:hAnsi="Times New Roman"/>
          <w:b/>
          <w:sz w:val="24"/>
        </w:rPr>
        <w:t>3.3 Concurrence et différenciation</w:t>
      </w:r>
    </w:p>
    <w:p>
      <w:pPr>
        <w:pStyle w:val="Normal"/>
        <w:spacing w:lineRule="auto" w:line="276" w:before="0" w:after="120"/>
        <w:rPr/>
      </w:pPr>
      <w:r>
        <w:rPr>
          <w:rFonts w:ascii="Times New Roman" w:hAnsi="Times New Roman"/>
          <w:sz w:val="24"/>
        </w:rPr>
        <w:t>Les plateformes généralistes de mise en relation et les agences locales répondent déjà partiellement au besoin. Ultimate DJ ne se positionne pas comme un simple annuaire : sa différenciation repose sur un parcours métier continu, de la demande au solde, avec affectation contrôlée du DJ, contrat, factures, préparation musicale et historique de dossier.</w:t>
      </w:r>
    </w:p>
    <w:tbl>
      <w:tblPr>
        <w:tblW w:w="9639" w:type="dxa"/>
        <w:jc w:val="start"/>
        <w:tblInd w:w="0" w:type="dxa"/>
        <w:tblLayout w:type="fixed"/>
        <w:tblCellMar>
          <w:top w:w="100" w:type="dxa"/>
          <w:start w:w="100" w:type="dxa"/>
          <w:bottom w:w="100" w:type="dxa"/>
          <w:end w:w="100" w:type="dxa"/>
        </w:tblCellMar>
        <w:tblLook w:val="04a0" w:firstRow="1" w:noVBand="1" w:lastRow="0" w:firstColumn="1" w:lastColumn="0" w:noHBand="0"/>
      </w:tblPr>
      <w:tblGrid>
        <w:gridCol w:w="3213"/>
        <w:gridCol w:w="3213"/>
        <w:gridCol w:w="3213"/>
      </w:tblGrid>
      <w:tr>
        <w:trPr/>
        <w:tc>
          <w:tcPr>
            <w:tcW w:w="3213" w:type="dxa"/>
            <w:tcBorders/>
          </w:tcPr>
          <w:p>
            <w:pPr>
              <w:pStyle w:val="Normal"/>
              <w:spacing w:lineRule="auto" w:line="276" w:before="0" w:after="0"/>
              <w:rPr/>
            </w:pPr>
            <w:r>
              <w:rPr>
                <w:rFonts w:ascii="Times New Roman" w:hAnsi="Times New Roman"/>
                <w:b/>
                <w:sz w:val="24"/>
              </w:rPr>
              <w:t>Solution</w:t>
            </w:r>
          </w:p>
        </w:tc>
        <w:tc>
          <w:tcPr>
            <w:tcW w:w="3213" w:type="dxa"/>
            <w:tcBorders/>
          </w:tcPr>
          <w:p>
            <w:pPr>
              <w:pStyle w:val="Normal"/>
              <w:spacing w:lineRule="auto" w:line="276" w:before="0" w:after="0"/>
              <w:rPr/>
            </w:pPr>
            <w:r>
              <w:rPr>
                <w:rFonts w:ascii="Times New Roman" w:hAnsi="Times New Roman"/>
                <w:b/>
                <w:sz w:val="24"/>
              </w:rPr>
              <w:t>Force</w:t>
            </w:r>
          </w:p>
        </w:tc>
        <w:tc>
          <w:tcPr>
            <w:tcW w:w="3213" w:type="dxa"/>
            <w:tcBorders/>
          </w:tcPr>
          <w:p>
            <w:pPr>
              <w:pStyle w:val="Normal"/>
              <w:spacing w:lineRule="auto" w:line="276" w:before="0" w:after="0"/>
              <w:rPr/>
            </w:pPr>
            <w:r>
              <w:rPr>
                <w:rFonts w:ascii="Times New Roman" w:hAnsi="Times New Roman"/>
                <w:b/>
                <w:sz w:val="24"/>
              </w:rPr>
              <w:t>Limite par rapport à Ultimate DJ</w:t>
            </w:r>
          </w:p>
        </w:tc>
      </w:tr>
      <w:tr>
        <w:trPr/>
        <w:tc>
          <w:tcPr>
            <w:tcW w:w="3213" w:type="dxa"/>
            <w:tcBorders/>
          </w:tcPr>
          <w:p>
            <w:pPr>
              <w:pStyle w:val="Normal"/>
              <w:spacing w:lineRule="auto" w:line="276" w:before="0" w:after="0"/>
              <w:rPr/>
            </w:pPr>
            <w:r>
              <w:rPr>
                <w:rFonts w:ascii="Times New Roman" w:hAnsi="Times New Roman"/>
                <w:sz w:val="24"/>
              </w:rPr>
              <w:t>Plateformes généralistes</w:t>
            </w:r>
          </w:p>
        </w:tc>
        <w:tc>
          <w:tcPr>
            <w:tcW w:w="3213" w:type="dxa"/>
            <w:tcBorders/>
          </w:tcPr>
          <w:p>
            <w:pPr>
              <w:pStyle w:val="Normal"/>
              <w:spacing w:lineRule="auto" w:line="276" w:before="0" w:after="0"/>
              <w:rPr/>
            </w:pPr>
            <w:r>
              <w:rPr>
                <w:rFonts w:ascii="Times New Roman" w:hAnsi="Times New Roman"/>
                <w:sz w:val="24"/>
              </w:rPr>
              <w:t>Visibilité et volume de profils</w:t>
            </w:r>
          </w:p>
        </w:tc>
        <w:tc>
          <w:tcPr>
            <w:tcW w:w="3213" w:type="dxa"/>
            <w:tcBorders/>
          </w:tcPr>
          <w:p>
            <w:pPr>
              <w:pStyle w:val="Normal"/>
              <w:spacing w:lineRule="auto" w:line="276" w:before="0" w:after="0"/>
              <w:rPr/>
            </w:pPr>
            <w:r>
              <w:rPr>
                <w:rFonts w:ascii="Times New Roman" w:hAnsi="Times New Roman"/>
                <w:sz w:val="24"/>
              </w:rPr>
              <w:t>Parcours DJ peu spécialisé et suivi opérationnel limité</w:t>
            </w:r>
          </w:p>
        </w:tc>
      </w:tr>
      <w:tr>
        <w:trPr/>
        <w:tc>
          <w:tcPr>
            <w:tcW w:w="3213" w:type="dxa"/>
            <w:tcBorders/>
          </w:tcPr>
          <w:p>
            <w:pPr>
              <w:pStyle w:val="Normal"/>
              <w:spacing w:lineRule="auto" w:line="276" w:before="0" w:after="0"/>
              <w:rPr/>
            </w:pPr>
            <w:r>
              <w:rPr>
                <w:rFonts w:ascii="Times New Roman" w:hAnsi="Times New Roman"/>
                <w:sz w:val="24"/>
              </w:rPr>
              <w:t>Agences locales</w:t>
            </w:r>
          </w:p>
        </w:tc>
        <w:tc>
          <w:tcPr>
            <w:tcW w:w="3213" w:type="dxa"/>
            <w:tcBorders/>
          </w:tcPr>
          <w:p>
            <w:pPr>
              <w:pStyle w:val="Normal"/>
              <w:spacing w:lineRule="auto" w:line="276" w:before="0" w:after="0"/>
              <w:rPr/>
            </w:pPr>
            <w:r>
              <w:rPr>
                <w:rFonts w:ascii="Times New Roman" w:hAnsi="Times New Roman"/>
                <w:sz w:val="24"/>
              </w:rPr>
              <w:t>Accompagnement humain</w:t>
            </w:r>
          </w:p>
        </w:tc>
        <w:tc>
          <w:tcPr>
            <w:tcW w:w="3213" w:type="dxa"/>
            <w:tcBorders/>
          </w:tcPr>
          <w:p>
            <w:pPr>
              <w:pStyle w:val="Normal"/>
              <w:spacing w:lineRule="auto" w:line="276" w:before="0" w:after="0"/>
              <w:rPr/>
            </w:pPr>
            <w:r>
              <w:rPr>
                <w:rFonts w:ascii="Times New Roman" w:hAnsi="Times New Roman"/>
                <w:sz w:val="24"/>
              </w:rPr>
              <w:t>Processus souvent dispersé entre e-mails, téléphone et documents</w:t>
            </w:r>
          </w:p>
        </w:tc>
      </w:tr>
      <w:tr>
        <w:trPr/>
        <w:tc>
          <w:tcPr>
            <w:tcW w:w="3213" w:type="dxa"/>
            <w:tcBorders/>
          </w:tcPr>
          <w:p>
            <w:pPr>
              <w:pStyle w:val="Normal"/>
              <w:spacing w:lineRule="auto" w:line="276" w:before="0" w:after="0"/>
              <w:rPr/>
            </w:pPr>
            <w:r>
              <w:rPr>
                <w:rFonts w:ascii="Times New Roman" w:hAnsi="Times New Roman"/>
                <w:sz w:val="24"/>
              </w:rPr>
              <w:t>Ultimate DJ</w:t>
            </w:r>
          </w:p>
        </w:tc>
        <w:tc>
          <w:tcPr>
            <w:tcW w:w="3213" w:type="dxa"/>
            <w:tcBorders/>
          </w:tcPr>
          <w:p>
            <w:pPr>
              <w:pStyle w:val="Normal"/>
              <w:spacing w:lineRule="auto" w:line="276" w:before="0" w:after="0"/>
              <w:rPr/>
            </w:pPr>
            <w:r>
              <w:rPr>
                <w:rFonts w:ascii="Times New Roman" w:hAnsi="Times New Roman"/>
                <w:sz w:val="24"/>
              </w:rPr>
              <w:t>Parcours intégré et traçable</w:t>
            </w:r>
          </w:p>
        </w:tc>
        <w:tc>
          <w:tcPr>
            <w:tcW w:w="3213" w:type="dxa"/>
            <w:tcBorders/>
          </w:tcPr>
          <w:p>
            <w:pPr>
              <w:pStyle w:val="Normal"/>
              <w:spacing w:lineRule="auto" w:line="276" w:before="0" w:after="0"/>
              <w:rPr/>
            </w:pPr>
            <w:r>
              <w:rPr>
                <w:rFonts w:ascii="Times New Roman" w:hAnsi="Times New Roman"/>
                <w:sz w:val="24"/>
              </w:rPr>
              <w:t>Offre encore limitée à un MVP et à une zone de lancement</w:t>
            </w:r>
          </w:p>
        </w:tc>
      </w:tr>
    </w:tbl>
    <w:p>
      <w:pPr>
        <w:pStyle w:val="Normal"/>
        <w:rPr/>
      </w:pPr>
      <w:r>
        <w:rPr/>
      </w:r>
    </w:p>
    <w:p>
      <w:pPr>
        <w:pStyle w:val="Heading1"/>
        <w:spacing w:lineRule="auto" w:line="276" w:before="240" w:after="120"/>
        <w:rPr/>
      </w:pPr>
      <w:r>
        <w:rPr>
          <w:rFonts w:ascii="Times New Roman" w:hAnsi="Times New Roman"/>
          <w:b/>
          <w:sz w:val="24"/>
        </w:rPr>
        <w:t>4. Offre et parcours de service</w:t>
      </w:r>
    </w:p>
    <w:p>
      <w:pPr>
        <w:pStyle w:val="Normal"/>
        <w:spacing w:lineRule="auto" w:line="276" w:before="0" w:after="120"/>
        <w:rPr/>
      </w:pPr>
      <w:r>
        <w:rPr>
          <w:rFonts w:ascii="Times New Roman" w:hAnsi="Times New Roman"/>
          <w:sz w:val="24"/>
        </w:rPr>
        <w:t>Les formules Essentiel, Classic et Sur mesure servent de point de départ commercial. Elles indiquent une durée et un tarif initial ; elles ne constituent pas un prix définitif. Le devis est ensuite personnalisé selon la date, le lieu, le nombre d’invités, la durée, les options, le déplacement et les préférences musicales.</w:t>
      </w:r>
    </w:p>
    <w:p>
      <w:pPr>
        <w:pStyle w:val="Normal"/>
        <w:spacing w:lineRule="auto" w:line="276" w:before="0" w:after="120"/>
        <w:rPr/>
      </w:pPr>
      <w:r>
        <w:rPr>
          <w:rFonts w:ascii="Times New Roman" w:hAnsi="Times New Roman"/>
          <w:sz w:val="24"/>
        </w:rPr>
        <w:t>Le parcours retenu est le suivant : demande de devis, contrôle administratif, réponse du DJ, contrat et acompte, rendez-vous préparatoire, playlist et morceaux proposés, prestation clôturée, facture de solde, paiement et avis. Cette logique est le cœur de la valeur apportée par l’application.</w:t>
      </w:r>
    </w:p>
    <w:p>
      <w:pPr>
        <w:pStyle w:val="Heading1"/>
        <w:spacing w:lineRule="auto" w:line="276" w:before="240" w:after="120"/>
        <w:rPr/>
      </w:pPr>
      <w:r>
        <w:rPr>
          <w:rFonts w:ascii="Times New Roman" w:hAnsi="Times New Roman"/>
          <w:b/>
          <w:sz w:val="24"/>
        </w:rPr>
        <w:t>5. Analyse de l’environnement</w:t>
      </w:r>
    </w:p>
    <w:p>
      <w:pPr>
        <w:pStyle w:val="Heading2"/>
        <w:spacing w:lineRule="auto" w:line="276" w:before="160" w:after="120"/>
        <w:rPr/>
      </w:pPr>
      <w:r>
        <w:rPr>
          <w:rFonts w:ascii="Times New Roman" w:hAnsi="Times New Roman"/>
          <w:b/>
          <w:sz w:val="24"/>
        </w:rPr>
        <w:t>5.1 PESTEL synthétique</w:t>
      </w:r>
    </w:p>
    <w:p>
      <w:pPr>
        <w:pStyle w:val="Normal"/>
        <w:spacing w:lineRule="auto" w:line="276" w:before="0" w:after="120"/>
        <w:ind w:hanging="240" w:start="360"/>
        <w:rPr/>
      </w:pPr>
      <w:r>
        <w:rPr>
          <w:rFonts w:ascii="Times New Roman" w:hAnsi="Times New Roman"/>
          <w:sz w:val="24"/>
        </w:rPr>
        <w:t xml:space="preserve">• </w:t>
      </w:r>
      <w:r>
        <w:rPr>
          <w:rFonts w:ascii="Times New Roman" w:hAnsi="Times New Roman"/>
          <w:sz w:val="24"/>
        </w:rPr>
        <w:t>Politique et légal : protection des données, droit des contrats, facturation, TVA, annulation et droits musicaux doivent être encadrés.</w:t>
      </w:r>
    </w:p>
    <w:p>
      <w:pPr>
        <w:pStyle w:val="Normal"/>
        <w:spacing w:lineRule="auto" w:line="276" w:before="0" w:after="120"/>
        <w:ind w:hanging="240" w:start="360"/>
        <w:rPr/>
      </w:pPr>
      <w:r>
        <w:rPr>
          <w:rFonts w:ascii="Times New Roman" w:hAnsi="Times New Roman"/>
          <w:sz w:val="24"/>
        </w:rPr>
        <w:t xml:space="preserve">• </w:t>
      </w:r>
      <w:r>
        <w:rPr>
          <w:rFonts w:ascii="Times New Roman" w:hAnsi="Times New Roman"/>
          <w:sz w:val="24"/>
        </w:rPr>
        <w:t>Économique : le lancement doit maîtriser ses coûts fixes et prévoir les frais variables de paiement par transaction.</w:t>
      </w:r>
    </w:p>
    <w:p>
      <w:pPr>
        <w:pStyle w:val="Normal"/>
        <w:spacing w:lineRule="auto" w:line="276" w:before="0" w:after="120"/>
        <w:ind w:hanging="240" w:start="360"/>
        <w:rPr/>
      </w:pPr>
      <w:r>
        <w:rPr>
          <w:rFonts w:ascii="Times New Roman" w:hAnsi="Times New Roman"/>
          <w:sz w:val="24"/>
        </w:rPr>
        <w:t xml:space="preserve">• </w:t>
      </w:r>
      <w:r>
        <w:rPr>
          <w:rFonts w:ascii="Times New Roman" w:hAnsi="Times New Roman"/>
          <w:sz w:val="24"/>
        </w:rPr>
        <w:t>Socioculturel : les événements privés appellent une personnalisation musicale et une relation de confiance.</w:t>
      </w:r>
    </w:p>
    <w:p>
      <w:pPr>
        <w:pStyle w:val="Normal"/>
        <w:spacing w:lineRule="auto" w:line="276" w:before="0" w:after="120"/>
        <w:ind w:hanging="240" w:start="360"/>
        <w:rPr/>
      </w:pPr>
      <w:r>
        <w:rPr>
          <w:rFonts w:ascii="Times New Roman" w:hAnsi="Times New Roman"/>
          <w:sz w:val="24"/>
        </w:rPr>
        <w:t xml:space="preserve">• </w:t>
      </w:r>
      <w:r>
        <w:rPr>
          <w:rFonts w:ascii="Times New Roman" w:hAnsi="Times New Roman"/>
          <w:sz w:val="24"/>
        </w:rPr>
        <w:t>Technologique : la valeur du produit dépend de la disponibilité de l’application, de la sauvegarde des données et du contrôle des accès.</w:t>
      </w:r>
    </w:p>
    <w:p>
      <w:pPr>
        <w:pStyle w:val="Normal"/>
        <w:spacing w:lineRule="auto" w:line="276" w:before="0" w:after="120"/>
        <w:ind w:hanging="240" w:start="360"/>
        <w:rPr/>
      </w:pPr>
      <w:r>
        <w:rPr>
          <w:rFonts w:ascii="Times New Roman" w:hAnsi="Times New Roman"/>
          <w:sz w:val="24"/>
        </w:rPr>
        <w:t xml:space="preserve">• </w:t>
      </w:r>
      <w:r>
        <w:rPr>
          <w:rFonts w:ascii="Times New Roman" w:hAnsi="Times New Roman"/>
          <w:sz w:val="24"/>
        </w:rPr>
        <w:t>Environnemental : la dématérialisation réduit les échanges papier, sans supprimer les besoins de stockage et d’hébergement responsables.</w:t>
      </w:r>
    </w:p>
    <w:p>
      <w:pPr>
        <w:pStyle w:val="Heading2"/>
        <w:spacing w:lineRule="auto" w:line="276" w:before="160" w:after="120"/>
        <w:rPr/>
      </w:pPr>
      <w:r>
        <w:rPr>
          <w:rFonts w:ascii="Times New Roman" w:hAnsi="Times New Roman"/>
          <w:b/>
          <w:sz w:val="24"/>
        </w:rPr>
        <w:t>5.2 Cadre de conformité</w:t>
      </w:r>
    </w:p>
    <w:p>
      <w:pPr>
        <w:pStyle w:val="Normal"/>
        <w:spacing w:lineRule="auto" w:line="276" w:before="0" w:after="120"/>
        <w:rPr/>
      </w:pPr>
      <w:r>
        <w:rPr>
          <w:rFonts w:ascii="Times New Roman" w:hAnsi="Times New Roman"/>
          <w:sz w:val="24"/>
        </w:rPr>
        <w:t>L’application traite des données d’identité, de contact, de lieu et de paiement. Elle doit donc documenter ses traitements, appliquer une politique de confidentialité, limiter les accès selon le rôle, conserver les documents nécessaires à la traçabilité et prévoir les demandes de suppression de compte. Le RGPD s’applique aux entreprises qui traitent des données personnelles ; l’Autorité belge de protection des données rappelle l’importance d’une documentation des traitements.</w:t>
      </w:r>
      <w:r>
        <w:rPr>
          <w:rStyle w:val="FootnoteReference"/>
        </w:rPr>
        <w:footnoteReference w:id="4"/>
      </w:r>
    </w:p>
    <w:p>
      <w:pPr>
        <w:pStyle w:val="Normal"/>
        <w:spacing w:lineRule="auto" w:line="276" w:before="0" w:after="120"/>
        <w:rPr/>
      </w:pPr>
      <w:r>
        <w:rPr>
          <w:rFonts w:ascii="Times New Roman" w:hAnsi="Times New Roman"/>
          <w:sz w:val="24"/>
        </w:rPr>
        <w:t>Les factures et paiements doivent être cohérents avec le régime TVA applicable et les obligations comptables de l’activité. Les licences nécessaires à la diffusion musicale relèvent du DJ et, selon le contexte, de l’organisateur ; elles doivent être clarifiées dans les conditions contractuelles.</w:t>
      </w:r>
      <w:r>
        <w:rPr>
          <w:rStyle w:val="FootnoteReference"/>
        </w:rPr>
        <w:footnoteReference w:id="5"/>
      </w:r>
    </w:p>
    <w:p>
      <w:pPr>
        <w:pStyle w:val="Normal"/>
        <w:spacing w:lineRule="auto" w:line="276" w:before="0" w:after="120"/>
        <w:rPr/>
      </w:pPr>
      <w:r>
        <w:rPr>
          <w:rFonts w:ascii="Times New Roman" w:hAnsi="Times New Roman"/>
          <w:sz w:val="24"/>
        </w:rPr>
        <w:t>La diffusion publique de musique suppose de vérifier les licences applicables. Cette vérification ne peut pas être reportée sur l’application seule : elle doit faire partie de l’organisation concrète de chaque prestation.</w:t>
      </w:r>
      <w:r>
        <w:rPr>
          <w:rStyle w:val="FootnoteReference"/>
        </w:rPr>
        <w:footnoteReference w:id="6"/>
      </w:r>
    </w:p>
    <w:p>
      <w:pPr>
        <w:pStyle w:val="Normal"/>
        <w:spacing w:lineRule="auto" w:line="276" w:before="0" w:after="120"/>
        <w:rPr/>
      </w:pPr>
      <w:r>
        <w:rPr>
          <w:rFonts w:ascii="Times New Roman" w:hAnsi="Times New Roman"/>
          <w:sz w:val="24"/>
        </w:rPr>
        <w:t>L’intégration Stripe réduit la charge technique liée au paiement, mais ne remplace ni les obligations légales, ni les règles d’annulation, ni le suivi comptable. Les frais de transaction doivent être intégrés au modèle de rentabilité.</w:t>
      </w:r>
      <w:r>
        <w:rPr>
          <w:rStyle w:val="FootnoteReference"/>
        </w:rPr>
        <w:footnoteReference w:id="7"/>
      </w:r>
    </w:p>
    <w:p>
      <w:pPr>
        <w:pStyle w:val="Heading1"/>
        <w:spacing w:lineRule="auto" w:line="276" w:before="240" w:after="120"/>
        <w:rPr/>
      </w:pPr>
      <w:r>
        <w:rPr>
          <w:rFonts w:ascii="Times New Roman" w:hAnsi="Times New Roman"/>
          <w:b/>
          <w:sz w:val="24"/>
        </w:rPr>
        <w:t>6. Modèle économique</w:t>
      </w:r>
    </w:p>
    <w:p>
      <w:pPr>
        <w:pStyle w:val="Heading2"/>
        <w:spacing w:lineRule="auto" w:line="276" w:before="160" w:after="120"/>
        <w:rPr/>
      </w:pPr>
      <w:r>
        <w:rPr>
          <w:rFonts w:ascii="Times New Roman" w:hAnsi="Times New Roman"/>
          <w:b/>
          <w:sz w:val="24"/>
        </w:rPr>
        <w:t>6.1 Modèle retenu pour le lancement</w:t>
      </w:r>
    </w:p>
    <w:p>
      <w:pPr>
        <w:pStyle w:val="Normal"/>
        <w:spacing w:lineRule="auto" w:line="276" w:before="0" w:after="120"/>
        <w:rPr/>
      </w:pPr>
      <w:r>
        <w:rPr>
          <w:rFonts w:ascii="Times New Roman" w:hAnsi="Times New Roman"/>
          <w:sz w:val="24"/>
        </w:rPr>
        <w:t>Le modèle retenu pour l’analyse est une commission de 10 % sur la valeur hors frais de paiement des réservations finalisées. Ce modèle est simple à expliquer : le client paie la prestation via la plateforme et Ultimate DJ rémunère son service de mise en relation, de gestion documentaire et de suivi. Les abonnements DJ et options de visibilité restent des pistes de développement et ne sont pas intégrés dans le calcul de la première année.</w:t>
      </w:r>
    </w:p>
    <w:p>
      <w:pPr>
        <w:pStyle w:val="Normal"/>
        <w:spacing w:lineRule="auto" w:line="276" w:before="0" w:after="120"/>
        <w:rPr/>
      </w:pPr>
      <w:r>
        <w:rPr>
          <w:rFonts w:ascii="Times New Roman" w:hAnsi="Times New Roman"/>
          <w:sz w:val="24"/>
        </w:rPr>
        <w:t>Le taux de 10 % est une hypothèse de lancement : il doit financer l'acquisition de clients, les documents, le suivi administratif, les notifications et la maintenance, sans réduire excessivement la rémunération du DJ. Sur une prestation moyenne de 650 EUR, la commission serait de 65 EUR et le DJ conserverait 585 EUR avant ses propres charges. Dans ce scénario, les frais Stripe moyens, estimés à environ 10 EUR par paiement, sont supportés par la plateforme et inclus dans sa marge ; aucun supplément de paiement n'est ajouté au client dans la première version.</w:t>
      </w:r>
    </w:p>
    <w:p>
      <w:pPr>
        <w:pStyle w:val="Normal"/>
        <w:spacing w:lineRule="auto" w:line="276" w:before="0" w:after="120"/>
        <w:rPr/>
      </w:pPr>
      <w:r>
        <w:rPr>
          <w:rFonts w:ascii="Times New Roman" w:hAnsi="Times New Roman"/>
          <w:sz w:val="24"/>
        </w:rPr>
        <w:t>Cette commission est un modèle économique de référence et non un mécanisme de versement automatique déjà déployé. Avant une commercialisation, il faudra définir avec un comptable le traitement de la TVA, la facture applicable, les éventuels reversements aux DJs et la responsabilité de chaque partie.</w:t>
      </w:r>
    </w:p>
    <w:p>
      <w:pPr>
        <w:pStyle w:val="Heading2"/>
        <w:spacing w:lineRule="auto" w:line="276" w:before="160" w:after="120"/>
        <w:rPr/>
      </w:pPr>
      <w:r>
        <w:rPr>
          <w:rFonts w:ascii="Times New Roman" w:hAnsi="Times New Roman"/>
          <w:b/>
          <w:sz w:val="24"/>
        </w:rPr>
        <w:t>6.2 Hypothèses de travail</w:t>
      </w:r>
    </w:p>
    <w:tbl>
      <w:tblPr>
        <w:tblW w:w="9639" w:type="dxa"/>
        <w:jc w:val="start"/>
        <w:tblInd w:w="0" w:type="dxa"/>
        <w:tblLayout w:type="fixed"/>
        <w:tblCellMar>
          <w:top w:w="100" w:type="dxa"/>
          <w:start w:w="100" w:type="dxa"/>
          <w:bottom w:w="100" w:type="dxa"/>
          <w:end w:w="100" w:type="dxa"/>
        </w:tblCellMar>
        <w:tblLook w:val="04a0" w:firstRow="1" w:noVBand="1" w:lastRow="0" w:firstColumn="1" w:lastColumn="0" w:noHBand="0"/>
      </w:tblPr>
      <w:tblGrid>
        <w:gridCol w:w="3213"/>
        <w:gridCol w:w="3213"/>
        <w:gridCol w:w="3213"/>
      </w:tblGrid>
      <w:tr>
        <w:trPr/>
        <w:tc>
          <w:tcPr>
            <w:tcW w:w="3213" w:type="dxa"/>
            <w:tcBorders/>
          </w:tcPr>
          <w:p>
            <w:pPr>
              <w:pStyle w:val="Normal"/>
              <w:spacing w:lineRule="auto" w:line="276" w:before="0" w:after="0"/>
              <w:rPr/>
            </w:pPr>
            <w:r>
              <w:rPr>
                <w:rFonts w:ascii="Times New Roman" w:hAnsi="Times New Roman"/>
                <w:b/>
                <w:sz w:val="24"/>
              </w:rPr>
              <w:t>Hypothèse</w:t>
            </w:r>
          </w:p>
        </w:tc>
        <w:tc>
          <w:tcPr>
            <w:tcW w:w="3213" w:type="dxa"/>
            <w:tcBorders/>
          </w:tcPr>
          <w:p>
            <w:pPr>
              <w:pStyle w:val="Normal"/>
              <w:spacing w:lineRule="auto" w:line="276" w:before="0" w:after="0"/>
              <w:rPr/>
            </w:pPr>
            <w:r>
              <w:rPr>
                <w:rFonts w:ascii="Times New Roman" w:hAnsi="Times New Roman"/>
                <w:b/>
                <w:sz w:val="24"/>
              </w:rPr>
              <w:t>Valeur</w:t>
            </w:r>
          </w:p>
        </w:tc>
        <w:tc>
          <w:tcPr>
            <w:tcW w:w="3213" w:type="dxa"/>
            <w:tcBorders/>
          </w:tcPr>
          <w:p>
            <w:pPr>
              <w:pStyle w:val="Normal"/>
              <w:spacing w:lineRule="auto" w:line="276" w:before="0" w:after="0"/>
              <w:rPr/>
            </w:pPr>
            <w:r>
              <w:rPr>
                <w:rFonts w:ascii="Times New Roman" w:hAnsi="Times New Roman"/>
                <w:b/>
                <w:sz w:val="24"/>
              </w:rPr>
              <w:t>Justification</w:t>
            </w:r>
          </w:p>
        </w:tc>
      </w:tr>
      <w:tr>
        <w:trPr/>
        <w:tc>
          <w:tcPr>
            <w:tcW w:w="3213" w:type="dxa"/>
            <w:tcBorders/>
          </w:tcPr>
          <w:p>
            <w:pPr>
              <w:pStyle w:val="Normal"/>
              <w:spacing w:lineRule="auto" w:line="276" w:before="0" w:after="0"/>
              <w:rPr/>
            </w:pPr>
            <w:r>
              <w:rPr>
                <w:rFonts w:ascii="Times New Roman" w:hAnsi="Times New Roman"/>
                <w:sz w:val="24"/>
              </w:rPr>
              <w:t>Panier moyen</w:t>
            </w:r>
          </w:p>
        </w:tc>
        <w:tc>
          <w:tcPr>
            <w:tcW w:w="3213" w:type="dxa"/>
            <w:tcBorders/>
          </w:tcPr>
          <w:p>
            <w:pPr>
              <w:pStyle w:val="Normal"/>
              <w:spacing w:lineRule="auto" w:line="276" w:before="0" w:after="0"/>
              <w:rPr/>
            </w:pPr>
            <w:r>
              <w:rPr>
                <w:rFonts w:ascii="Times New Roman" w:hAnsi="Times New Roman"/>
                <w:sz w:val="24"/>
              </w:rPr>
              <w:t>650 EUR</w:t>
            </w:r>
          </w:p>
        </w:tc>
        <w:tc>
          <w:tcPr>
            <w:tcW w:w="3213" w:type="dxa"/>
            <w:tcBorders/>
          </w:tcPr>
          <w:p>
            <w:pPr>
              <w:pStyle w:val="Normal"/>
              <w:spacing w:lineRule="auto" w:line="276" w:before="0" w:after="0"/>
              <w:rPr/>
            </w:pPr>
            <w:r>
              <w:rPr>
                <w:rFonts w:ascii="Times New Roman" w:hAnsi="Times New Roman"/>
                <w:sz w:val="24"/>
              </w:rPr>
              <w:t>Cohérent avec les formules et les prestations privées ciblées</w:t>
            </w:r>
          </w:p>
        </w:tc>
      </w:tr>
      <w:tr>
        <w:trPr/>
        <w:tc>
          <w:tcPr>
            <w:tcW w:w="3213" w:type="dxa"/>
            <w:tcBorders/>
          </w:tcPr>
          <w:p>
            <w:pPr>
              <w:pStyle w:val="Normal"/>
              <w:spacing w:lineRule="auto" w:line="276" w:before="0" w:after="0"/>
              <w:rPr/>
            </w:pPr>
            <w:r>
              <w:rPr>
                <w:rFonts w:ascii="Times New Roman" w:hAnsi="Times New Roman"/>
                <w:sz w:val="24"/>
              </w:rPr>
              <w:t>Commission plateforme</w:t>
            </w:r>
          </w:p>
        </w:tc>
        <w:tc>
          <w:tcPr>
            <w:tcW w:w="3213" w:type="dxa"/>
            <w:tcBorders/>
          </w:tcPr>
          <w:p>
            <w:pPr>
              <w:pStyle w:val="Normal"/>
              <w:spacing w:lineRule="auto" w:line="276" w:before="0" w:after="0"/>
              <w:rPr/>
            </w:pPr>
            <w:r>
              <w:rPr>
                <w:rFonts w:ascii="Times New Roman" w:hAnsi="Times New Roman"/>
                <w:sz w:val="24"/>
              </w:rPr>
              <w:t>10 %</w:t>
            </w:r>
          </w:p>
        </w:tc>
        <w:tc>
          <w:tcPr>
            <w:tcW w:w="3213" w:type="dxa"/>
            <w:tcBorders/>
          </w:tcPr>
          <w:p>
            <w:pPr>
              <w:pStyle w:val="Normal"/>
              <w:spacing w:lineRule="auto" w:line="276" w:before="0" w:after="0"/>
              <w:rPr/>
            </w:pPr>
            <w:r>
              <w:rPr>
                <w:rFonts w:ascii="Times New Roman" w:hAnsi="Times New Roman"/>
                <w:sz w:val="24"/>
              </w:rPr>
              <w:t>Hypothèse de lancement à valider auprès des DJs</w:t>
            </w:r>
          </w:p>
        </w:tc>
      </w:tr>
      <w:tr>
        <w:trPr/>
        <w:tc>
          <w:tcPr>
            <w:tcW w:w="3213" w:type="dxa"/>
            <w:tcBorders/>
          </w:tcPr>
          <w:p>
            <w:pPr>
              <w:pStyle w:val="Normal"/>
              <w:spacing w:lineRule="auto" w:line="276" w:before="0" w:after="0"/>
              <w:rPr/>
            </w:pPr>
            <w:r>
              <w:rPr>
                <w:rFonts w:ascii="Times New Roman" w:hAnsi="Times New Roman"/>
                <w:sz w:val="24"/>
              </w:rPr>
              <w:t>Réservations année 1</w:t>
            </w:r>
          </w:p>
        </w:tc>
        <w:tc>
          <w:tcPr>
            <w:tcW w:w="3213" w:type="dxa"/>
            <w:tcBorders/>
          </w:tcPr>
          <w:p>
            <w:pPr>
              <w:pStyle w:val="Normal"/>
              <w:spacing w:lineRule="auto" w:line="276" w:before="0" w:after="0"/>
              <w:rPr/>
            </w:pPr>
            <w:r>
              <w:rPr>
                <w:rFonts w:ascii="Times New Roman" w:hAnsi="Times New Roman"/>
                <w:sz w:val="24"/>
              </w:rPr>
              <w:t>72</w:t>
            </w:r>
          </w:p>
        </w:tc>
        <w:tc>
          <w:tcPr>
            <w:tcW w:w="3213" w:type="dxa"/>
            <w:tcBorders/>
          </w:tcPr>
          <w:p>
            <w:pPr>
              <w:pStyle w:val="Normal"/>
              <w:spacing w:lineRule="auto" w:line="276" w:before="0" w:after="0"/>
              <w:rPr/>
            </w:pPr>
            <w:r>
              <w:rPr>
                <w:rFonts w:ascii="Times New Roman" w:hAnsi="Times New Roman"/>
                <w:sz w:val="24"/>
              </w:rPr>
              <w:t>Montée progressive : moyenne de 6 réservations/mois</w:t>
            </w:r>
          </w:p>
        </w:tc>
      </w:tr>
      <w:tr>
        <w:trPr/>
        <w:tc>
          <w:tcPr>
            <w:tcW w:w="3213" w:type="dxa"/>
            <w:tcBorders/>
          </w:tcPr>
          <w:p>
            <w:pPr>
              <w:pStyle w:val="Normal"/>
              <w:spacing w:lineRule="auto" w:line="276" w:before="0" w:after="0"/>
              <w:rPr/>
            </w:pPr>
            <w:r>
              <w:rPr>
                <w:rFonts w:ascii="Times New Roman" w:hAnsi="Times New Roman"/>
                <w:sz w:val="24"/>
              </w:rPr>
              <w:t>Frais Stripe moyens</w:t>
            </w:r>
          </w:p>
        </w:tc>
        <w:tc>
          <w:tcPr>
            <w:tcW w:w="3213" w:type="dxa"/>
            <w:tcBorders/>
          </w:tcPr>
          <w:p>
            <w:pPr>
              <w:pStyle w:val="Normal"/>
              <w:spacing w:lineRule="auto" w:line="276" w:before="0" w:after="0"/>
              <w:rPr/>
            </w:pPr>
            <w:r>
              <w:rPr>
                <w:rFonts w:ascii="Times New Roman" w:hAnsi="Times New Roman"/>
                <w:sz w:val="24"/>
              </w:rPr>
              <w:t>1,5 % + 0,25 EUR</w:t>
            </w:r>
          </w:p>
        </w:tc>
        <w:tc>
          <w:tcPr>
            <w:tcW w:w="3213" w:type="dxa"/>
            <w:tcBorders/>
          </w:tcPr>
          <w:p>
            <w:pPr>
              <w:pStyle w:val="Normal"/>
              <w:spacing w:lineRule="auto" w:line="276" w:before="0" w:after="0"/>
              <w:rPr/>
            </w:pPr>
            <w:r>
              <w:rPr>
                <w:rFonts w:ascii="Times New Roman" w:hAnsi="Times New Roman"/>
                <w:sz w:val="24"/>
              </w:rPr>
              <w:t>Cartes européennes standard, tarif public à confirmer au moment du lancement</w:t>
            </w:r>
          </w:p>
        </w:tc>
      </w:tr>
      <w:tr>
        <w:trPr/>
        <w:tc>
          <w:tcPr>
            <w:tcW w:w="3213" w:type="dxa"/>
            <w:tcBorders/>
          </w:tcPr>
          <w:p>
            <w:pPr>
              <w:pStyle w:val="Normal"/>
              <w:spacing w:lineRule="auto" w:line="276" w:before="0" w:after="0"/>
              <w:rPr/>
            </w:pPr>
            <w:r>
              <w:rPr>
                <w:rFonts w:ascii="Times New Roman" w:hAnsi="Times New Roman"/>
                <w:sz w:val="24"/>
              </w:rPr>
              <w:t>Coût de développement</w:t>
            </w:r>
          </w:p>
        </w:tc>
        <w:tc>
          <w:tcPr>
            <w:tcW w:w="3213" w:type="dxa"/>
            <w:tcBorders/>
          </w:tcPr>
          <w:p>
            <w:pPr>
              <w:pStyle w:val="Normal"/>
              <w:spacing w:lineRule="auto" w:line="276" w:before="0" w:after="0"/>
              <w:rPr/>
            </w:pPr>
            <w:r>
              <w:rPr>
                <w:rFonts w:ascii="Times New Roman" w:hAnsi="Times New Roman"/>
                <w:sz w:val="24"/>
              </w:rPr>
              <w:t>5 600 EUR</w:t>
            </w:r>
          </w:p>
        </w:tc>
        <w:tc>
          <w:tcPr>
            <w:tcW w:w="3213" w:type="dxa"/>
            <w:tcBorders/>
          </w:tcPr>
          <w:p>
            <w:pPr>
              <w:pStyle w:val="Normal"/>
              <w:spacing w:lineRule="auto" w:line="276" w:before="0" w:after="0"/>
              <w:rPr/>
            </w:pPr>
            <w:r>
              <w:rPr>
                <w:rFonts w:ascii="Times New Roman" w:hAnsi="Times New Roman"/>
                <w:sz w:val="24"/>
              </w:rPr>
              <w:t>160 heures valorisées à 35 EUR/heure ; coût de fabrication, même si le travail est réalisé par le porteur</w:t>
            </w:r>
          </w:p>
        </w:tc>
      </w:tr>
    </w:tbl>
    <w:p>
      <w:pPr>
        <w:pStyle w:val="Normal"/>
        <w:rPr/>
      </w:pPr>
      <w:r>
        <w:rPr/>
      </w:r>
    </w:p>
    <w:p>
      <w:pPr>
        <w:pStyle w:val="Heading2"/>
        <w:spacing w:lineRule="auto" w:line="276" w:before="160" w:after="120"/>
        <w:rPr/>
      </w:pPr>
      <w:r>
        <w:rPr>
          <w:rFonts w:ascii="Times New Roman" w:hAnsi="Times New Roman"/>
          <w:b/>
          <w:sz w:val="24"/>
        </w:rPr>
        <w:t>6.3 Coûts de fabrication et de production</w:t>
      </w:r>
    </w:p>
    <w:tbl>
      <w:tblPr>
        <w:tblW w:w="9639" w:type="dxa"/>
        <w:jc w:val="start"/>
        <w:tblInd w:w="0" w:type="dxa"/>
        <w:tblLayout w:type="fixed"/>
        <w:tblCellMar>
          <w:top w:w="100" w:type="dxa"/>
          <w:start w:w="100" w:type="dxa"/>
          <w:bottom w:w="100" w:type="dxa"/>
          <w:end w:w="100" w:type="dxa"/>
        </w:tblCellMar>
        <w:tblLook w:val="04a0" w:firstRow="1" w:noVBand="1" w:lastRow="0" w:firstColumn="1" w:lastColumn="0" w:noHBand="0"/>
      </w:tblPr>
      <w:tblGrid>
        <w:gridCol w:w="3213"/>
        <w:gridCol w:w="3213"/>
        <w:gridCol w:w="3213"/>
      </w:tblGrid>
      <w:tr>
        <w:trPr/>
        <w:tc>
          <w:tcPr>
            <w:tcW w:w="3213" w:type="dxa"/>
            <w:tcBorders/>
          </w:tcPr>
          <w:p>
            <w:pPr>
              <w:pStyle w:val="Normal"/>
              <w:spacing w:lineRule="auto" w:line="276" w:before="0" w:after="0"/>
              <w:rPr/>
            </w:pPr>
            <w:r>
              <w:rPr>
                <w:rFonts w:ascii="Times New Roman" w:hAnsi="Times New Roman"/>
                <w:b/>
                <w:sz w:val="24"/>
              </w:rPr>
              <w:t>Poste</w:t>
            </w:r>
          </w:p>
        </w:tc>
        <w:tc>
          <w:tcPr>
            <w:tcW w:w="3213" w:type="dxa"/>
            <w:tcBorders/>
          </w:tcPr>
          <w:p>
            <w:pPr>
              <w:pStyle w:val="Normal"/>
              <w:spacing w:lineRule="auto" w:line="276" w:before="0" w:after="0"/>
              <w:rPr/>
            </w:pPr>
            <w:r>
              <w:rPr>
                <w:rFonts w:ascii="Times New Roman" w:hAnsi="Times New Roman"/>
                <w:b/>
                <w:sz w:val="24"/>
              </w:rPr>
              <w:t>Année 1</w:t>
            </w:r>
          </w:p>
        </w:tc>
        <w:tc>
          <w:tcPr>
            <w:tcW w:w="3213" w:type="dxa"/>
            <w:tcBorders/>
          </w:tcPr>
          <w:p>
            <w:pPr>
              <w:pStyle w:val="Normal"/>
              <w:spacing w:lineRule="auto" w:line="276" w:before="0" w:after="0"/>
              <w:rPr/>
            </w:pPr>
            <w:r>
              <w:rPr>
                <w:rFonts w:ascii="Times New Roman" w:hAnsi="Times New Roman"/>
                <w:b/>
                <w:sz w:val="24"/>
              </w:rPr>
              <w:t>Nature</w:t>
            </w:r>
          </w:p>
        </w:tc>
      </w:tr>
      <w:tr>
        <w:trPr/>
        <w:tc>
          <w:tcPr>
            <w:tcW w:w="3213" w:type="dxa"/>
            <w:tcBorders/>
          </w:tcPr>
          <w:p>
            <w:pPr>
              <w:pStyle w:val="Normal"/>
              <w:spacing w:lineRule="auto" w:line="276" w:before="0" w:after="0"/>
              <w:rPr/>
            </w:pPr>
            <w:r>
              <w:rPr>
                <w:rFonts w:ascii="Times New Roman" w:hAnsi="Times New Roman"/>
                <w:sz w:val="24"/>
              </w:rPr>
              <w:t>Développement initial</w:t>
            </w:r>
          </w:p>
        </w:tc>
        <w:tc>
          <w:tcPr>
            <w:tcW w:w="3213" w:type="dxa"/>
            <w:tcBorders/>
          </w:tcPr>
          <w:p>
            <w:pPr>
              <w:pStyle w:val="Normal"/>
              <w:spacing w:lineRule="auto" w:line="276" w:before="0" w:after="0"/>
              <w:rPr/>
            </w:pPr>
            <w:r>
              <w:rPr>
                <w:rFonts w:ascii="Times New Roman" w:hAnsi="Times New Roman"/>
                <w:sz w:val="24"/>
              </w:rPr>
              <w:t>5 600 EUR</w:t>
            </w:r>
          </w:p>
        </w:tc>
        <w:tc>
          <w:tcPr>
            <w:tcW w:w="3213" w:type="dxa"/>
            <w:tcBorders/>
          </w:tcPr>
          <w:p>
            <w:pPr>
              <w:pStyle w:val="Normal"/>
              <w:spacing w:lineRule="auto" w:line="276" w:before="0" w:after="0"/>
              <w:rPr/>
            </w:pPr>
            <w:r>
              <w:rPr>
                <w:rFonts w:ascii="Times New Roman" w:hAnsi="Times New Roman"/>
                <w:sz w:val="24"/>
              </w:rPr>
              <w:t>Coût de fabrication valorisé</w:t>
            </w:r>
          </w:p>
        </w:tc>
      </w:tr>
      <w:tr>
        <w:trPr/>
        <w:tc>
          <w:tcPr>
            <w:tcW w:w="3213" w:type="dxa"/>
            <w:tcBorders/>
          </w:tcPr>
          <w:p>
            <w:pPr>
              <w:pStyle w:val="Normal"/>
              <w:spacing w:lineRule="auto" w:line="276" w:before="0" w:after="0"/>
              <w:rPr/>
            </w:pPr>
            <w:r>
              <w:rPr>
                <w:rFonts w:ascii="Times New Roman" w:hAnsi="Times New Roman"/>
                <w:sz w:val="24"/>
              </w:rPr>
              <w:t>Hébergement VPS</w:t>
            </w:r>
          </w:p>
        </w:tc>
        <w:tc>
          <w:tcPr>
            <w:tcW w:w="3213" w:type="dxa"/>
            <w:tcBorders/>
          </w:tcPr>
          <w:p>
            <w:pPr>
              <w:pStyle w:val="Normal"/>
              <w:spacing w:lineRule="auto" w:line="276" w:before="0" w:after="0"/>
              <w:rPr/>
            </w:pPr>
            <w:r>
              <w:rPr>
                <w:rFonts w:ascii="Times New Roman" w:hAnsi="Times New Roman"/>
                <w:sz w:val="24"/>
              </w:rPr>
              <w:t>240 EUR</w:t>
            </w:r>
          </w:p>
        </w:tc>
        <w:tc>
          <w:tcPr>
            <w:tcW w:w="3213" w:type="dxa"/>
            <w:tcBorders/>
          </w:tcPr>
          <w:p>
            <w:pPr>
              <w:pStyle w:val="Normal"/>
              <w:spacing w:lineRule="auto" w:line="276" w:before="0" w:after="0"/>
              <w:rPr/>
            </w:pPr>
            <w:r>
              <w:rPr>
                <w:rFonts w:ascii="Times New Roman" w:hAnsi="Times New Roman"/>
                <w:sz w:val="24"/>
              </w:rPr>
              <w:t>20 EUR/mois</w:t>
            </w:r>
          </w:p>
        </w:tc>
      </w:tr>
      <w:tr>
        <w:trPr/>
        <w:tc>
          <w:tcPr>
            <w:tcW w:w="3213" w:type="dxa"/>
            <w:tcBorders/>
          </w:tcPr>
          <w:p>
            <w:pPr>
              <w:pStyle w:val="Normal"/>
              <w:spacing w:lineRule="auto" w:line="276" w:before="0" w:after="0"/>
              <w:rPr/>
            </w:pPr>
            <w:r>
              <w:rPr>
                <w:rFonts w:ascii="Times New Roman" w:hAnsi="Times New Roman"/>
                <w:sz w:val="24"/>
              </w:rPr>
              <w:t>Nom de domaine et certificats</w:t>
            </w:r>
          </w:p>
        </w:tc>
        <w:tc>
          <w:tcPr>
            <w:tcW w:w="3213" w:type="dxa"/>
            <w:tcBorders/>
          </w:tcPr>
          <w:p>
            <w:pPr>
              <w:pStyle w:val="Normal"/>
              <w:spacing w:lineRule="auto" w:line="276" w:before="0" w:after="0"/>
              <w:rPr/>
            </w:pPr>
            <w:r>
              <w:rPr>
                <w:rFonts w:ascii="Times New Roman" w:hAnsi="Times New Roman"/>
                <w:sz w:val="24"/>
              </w:rPr>
              <w:t>25 EUR</w:t>
            </w:r>
          </w:p>
        </w:tc>
        <w:tc>
          <w:tcPr>
            <w:tcW w:w="3213" w:type="dxa"/>
            <w:tcBorders/>
          </w:tcPr>
          <w:p>
            <w:pPr>
              <w:pStyle w:val="Normal"/>
              <w:spacing w:lineRule="auto" w:line="276" w:before="0" w:after="0"/>
              <w:rPr/>
            </w:pPr>
            <w:r>
              <w:rPr>
                <w:rFonts w:ascii="Times New Roman" w:hAnsi="Times New Roman"/>
                <w:sz w:val="24"/>
              </w:rPr>
              <w:t>Estimation annuelle</w:t>
            </w:r>
          </w:p>
        </w:tc>
      </w:tr>
      <w:tr>
        <w:trPr/>
        <w:tc>
          <w:tcPr>
            <w:tcW w:w="3213" w:type="dxa"/>
            <w:tcBorders/>
          </w:tcPr>
          <w:p>
            <w:pPr>
              <w:pStyle w:val="Normal"/>
              <w:spacing w:lineRule="auto" w:line="276" w:before="0" w:after="0"/>
              <w:rPr/>
            </w:pPr>
            <w:r>
              <w:rPr>
                <w:rFonts w:ascii="Times New Roman" w:hAnsi="Times New Roman"/>
                <w:sz w:val="24"/>
              </w:rPr>
              <w:t>E-mails transactionnels</w:t>
            </w:r>
          </w:p>
        </w:tc>
        <w:tc>
          <w:tcPr>
            <w:tcW w:w="3213" w:type="dxa"/>
            <w:tcBorders/>
          </w:tcPr>
          <w:p>
            <w:pPr>
              <w:pStyle w:val="Normal"/>
              <w:spacing w:lineRule="auto" w:line="276" w:before="0" w:after="0"/>
              <w:rPr/>
            </w:pPr>
            <w:r>
              <w:rPr>
                <w:rFonts w:ascii="Times New Roman" w:hAnsi="Times New Roman"/>
                <w:sz w:val="24"/>
              </w:rPr>
              <w:t>120 EUR</w:t>
            </w:r>
          </w:p>
        </w:tc>
        <w:tc>
          <w:tcPr>
            <w:tcW w:w="3213" w:type="dxa"/>
            <w:tcBorders/>
          </w:tcPr>
          <w:p>
            <w:pPr>
              <w:pStyle w:val="Normal"/>
              <w:spacing w:lineRule="auto" w:line="276" w:before="0" w:after="0"/>
              <w:rPr/>
            </w:pPr>
            <w:r>
              <w:rPr>
                <w:rFonts w:ascii="Times New Roman" w:hAnsi="Times New Roman"/>
                <w:sz w:val="24"/>
              </w:rPr>
              <w:t>Estimation de démarrage</w:t>
            </w:r>
          </w:p>
        </w:tc>
      </w:tr>
      <w:tr>
        <w:trPr/>
        <w:tc>
          <w:tcPr>
            <w:tcW w:w="3213" w:type="dxa"/>
            <w:tcBorders/>
          </w:tcPr>
          <w:p>
            <w:pPr>
              <w:pStyle w:val="Normal"/>
              <w:spacing w:lineRule="auto" w:line="276" w:before="0" w:after="0"/>
              <w:rPr/>
            </w:pPr>
            <w:r>
              <w:rPr>
                <w:rFonts w:ascii="Times New Roman" w:hAnsi="Times New Roman"/>
                <w:sz w:val="24"/>
              </w:rPr>
              <w:t>Sauvegarde, stockage et supervision</w:t>
            </w:r>
          </w:p>
        </w:tc>
        <w:tc>
          <w:tcPr>
            <w:tcW w:w="3213" w:type="dxa"/>
            <w:tcBorders/>
          </w:tcPr>
          <w:p>
            <w:pPr>
              <w:pStyle w:val="Normal"/>
              <w:spacing w:lineRule="auto" w:line="276" w:before="0" w:after="0"/>
              <w:rPr/>
            </w:pPr>
            <w:r>
              <w:rPr>
                <w:rFonts w:ascii="Times New Roman" w:hAnsi="Times New Roman"/>
                <w:sz w:val="24"/>
              </w:rPr>
              <w:t>180 EUR</w:t>
            </w:r>
          </w:p>
        </w:tc>
        <w:tc>
          <w:tcPr>
            <w:tcW w:w="3213" w:type="dxa"/>
            <w:tcBorders/>
          </w:tcPr>
          <w:p>
            <w:pPr>
              <w:pStyle w:val="Normal"/>
              <w:spacing w:lineRule="auto" w:line="276" w:before="0" w:after="0"/>
              <w:rPr/>
            </w:pPr>
            <w:r>
              <w:rPr>
                <w:rFonts w:ascii="Times New Roman" w:hAnsi="Times New Roman"/>
                <w:sz w:val="24"/>
              </w:rPr>
              <w:t>Estimation annuelle</w:t>
            </w:r>
          </w:p>
        </w:tc>
      </w:tr>
      <w:tr>
        <w:trPr/>
        <w:tc>
          <w:tcPr>
            <w:tcW w:w="3213" w:type="dxa"/>
            <w:tcBorders/>
          </w:tcPr>
          <w:p>
            <w:pPr>
              <w:pStyle w:val="Normal"/>
              <w:spacing w:lineRule="auto" w:line="276" w:before="0" w:after="0"/>
              <w:rPr/>
            </w:pPr>
            <w:r>
              <w:rPr>
                <w:rFonts w:ascii="Times New Roman" w:hAnsi="Times New Roman"/>
                <w:sz w:val="24"/>
              </w:rPr>
              <w:t>Communication de lancement</w:t>
            </w:r>
          </w:p>
        </w:tc>
        <w:tc>
          <w:tcPr>
            <w:tcW w:w="3213" w:type="dxa"/>
            <w:tcBorders/>
          </w:tcPr>
          <w:p>
            <w:pPr>
              <w:pStyle w:val="Normal"/>
              <w:spacing w:lineRule="auto" w:line="276" w:before="0" w:after="0"/>
              <w:rPr/>
            </w:pPr>
            <w:r>
              <w:rPr>
                <w:rFonts w:ascii="Times New Roman" w:hAnsi="Times New Roman"/>
                <w:sz w:val="24"/>
              </w:rPr>
              <w:t>1 200 EUR</w:t>
            </w:r>
          </w:p>
        </w:tc>
        <w:tc>
          <w:tcPr>
            <w:tcW w:w="3213" w:type="dxa"/>
            <w:tcBorders/>
          </w:tcPr>
          <w:p>
            <w:pPr>
              <w:pStyle w:val="Normal"/>
              <w:spacing w:lineRule="auto" w:line="276" w:before="0" w:after="0"/>
              <w:rPr/>
            </w:pPr>
            <w:r>
              <w:rPr>
                <w:rFonts w:ascii="Times New Roman" w:hAnsi="Times New Roman"/>
                <w:sz w:val="24"/>
              </w:rPr>
              <w:t>Réseaux sociaux et publicité ciblée</w:t>
            </w:r>
          </w:p>
        </w:tc>
      </w:tr>
      <w:tr>
        <w:trPr/>
        <w:tc>
          <w:tcPr>
            <w:tcW w:w="3213" w:type="dxa"/>
            <w:tcBorders/>
          </w:tcPr>
          <w:p>
            <w:pPr>
              <w:pStyle w:val="Normal"/>
              <w:spacing w:lineRule="auto" w:line="276" w:before="0" w:after="0"/>
              <w:rPr/>
            </w:pPr>
            <w:r>
              <w:rPr>
                <w:rFonts w:ascii="Times New Roman" w:hAnsi="Times New Roman"/>
                <w:sz w:val="24"/>
              </w:rPr>
              <w:t>Maintenance et support</w:t>
            </w:r>
          </w:p>
        </w:tc>
        <w:tc>
          <w:tcPr>
            <w:tcW w:w="3213" w:type="dxa"/>
            <w:tcBorders/>
          </w:tcPr>
          <w:p>
            <w:pPr>
              <w:pStyle w:val="Normal"/>
              <w:spacing w:lineRule="auto" w:line="276" w:before="0" w:after="0"/>
              <w:rPr/>
            </w:pPr>
            <w:r>
              <w:rPr>
                <w:rFonts w:ascii="Times New Roman" w:hAnsi="Times New Roman"/>
                <w:sz w:val="24"/>
              </w:rPr>
              <w:t>1 800 EUR</w:t>
            </w:r>
          </w:p>
        </w:tc>
        <w:tc>
          <w:tcPr>
            <w:tcW w:w="3213" w:type="dxa"/>
            <w:tcBorders/>
          </w:tcPr>
          <w:p>
            <w:pPr>
              <w:pStyle w:val="Normal"/>
              <w:spacing w:lineRule="auto" w:line="276" w:before="0" w:after="0"/>
              <w:rPr/>
            </w:pPr>
            <w:r>
              <w:rPr>
                <w:rFonts w:ascii="Times New Roman" w:hAnsi="Times New Roman"/>
                <w:sz w:val="24"/>
              </w:rPr>
              <w:t>Environ 5 heures/mois valorisées à 30 EUR</w:t>
            </w:r>
          </w:p>
        </w:tc>
      </w:tr>
      <w:tr>
        <w:trPr/>
        <w:tc>
          <w:tcPr>
            <w:tcW w:w="3213" w:type="dxa"/>
            <w:tcBorders/>
          </w:tcPr>
          <w:p>
            <w:pPr>
              <w:pStyle w:val="Normal"/>
              <w:spacing w:lineRule="auto" w:line="276" w:before="0" w:after="0"/>
              <w:rPr/>
            </w:pPr>
            <w:r>
              <w:rPr>
                <w:rFonts w:ascii="Times New Roman" w:hAnsi="Times New Roman"/>
                <w:sz w:val="24"/>
              </w:rPr>
              <w:t>Total hors frais Stripe</w:t>
            </w:r>
          </w:p>
        </w:tc>
        <w:tc>
          <w:tcPr>
            <w:tcW w:w="3213" w:type="dxa"/>
            <w:tcBorders/>
          </w:tcPr>
          <w:p>
            <w:pPr>
              <w:pStyle w:val="Normal"/>
              <w:spacing w:lineRule="auto" w:line="276" w:before="0" w:after="0"/>
              <w:rPr/>
            </w:pPr>
            <w:r>
              <w:rPr>
                <w:rFonts w:ascii="Times New Roman" w:hAnsi="Times New Roman"/>
                <w:sz w:val="24"/>
              </w:rPr>
              <w:t>9 165 EUR</w:t>
            </w:r>
          </w:p>
        </w:tc>
        <w:tc>
          <w:tcPr>
            <w:tcW w:w="3213" w:type="dxa"/>
            <w:tcBorders/>
          </w:tcPr>
          <w:p>
            <w:pPr>
              <w:pStyle w:val="Normal"/>
              <w:spacing w:lineRule="auto" w:line="276" w:before="0" w:after="0"/>
              <w:rPr/>
            </w:pPr>
            <w:r>
              <w:rPr>
                <w:rFonts w:ascii="Times New Roman" w:hAnsi="Times New Roman"/>
                <w:sz w:val="24"/>
              </w:rPr>
              <w:t>Coûts initiaux et opérationnels année 1</w:t>
            </w:r>
          </w:p>
        </w:tc>
      </w:tr>
    </w:tbl>
    <w:p>
      <w:pPr>
        <w:pStyle w:val="Normal"/>
        <w:rPr/>
      </w:pPr>
      <w:r>
        <w:rPr/>
      </w:r>
    </w:p>
    <w:p>
      <w:pPr>
        <w:pStyle w:val="Heading2"/>
        <w:spacing w:lineRule="auto" w:line="276" w:before="160" w:after="120"/>
        <w:rPr/>
      </w:pPr>
      <w:r>
        <w:rPr>
          <w:rFonts w:ascii="Times New Roman" w:hAnsi="Times New Roman"/>
          <w:b/>
          <w:sz w:val="24"/>
        </w:rPr>
        <w:t>6.4 Prévision de revenus et rentabilité</w:t>
      </w:r>
    </w:p>
    <w:p>
      <w:pPr>
        <w:pStyle w:val="Normal"/>
        <w:spacing w:lineRule="auto" w:line="276" w:before="0" w:after="120"/>
        <w:rPr/>
      </w:pPr>
      <w:r>
        <w:rPr>
          <w:rFonts w:ascii="Times New Roman" w:hAnsi="Times New Roman"/>
          <w:sz w:val="24"/>
        </w:rPr>
        <w:t>Avec 72 réservations à 650 EUR, le volume de prestations géré atteint 46 800 EUR. Une commission de 10 % génère 4 680 EUR de chiffre d’affaires. Les frais Stripe estimés sont d’environ 720 EUR : 46 800 x 1,5 % + 72 x 0,25 EUR. Le résultat de l’année 1 est donc négatif d’environ 5 205 EUR avant impôts, car le coût de développement est comptabilisé dès la première année. Cette conclusion est normale pour un lancement et doit être expliquée oralement : l’objectif de la première année est de valider le produit et d’acquérir les premiers utilisateurs.</w:t>
      </w:r>
      <w:r>
        <w:rPr>
          <w:rStyle w:val="FootnoteReference"/>
        </w:rPr>
        <w:footnoteReference w:id="8"/>
      </w:r>
    </w:p>
    <w:tbl>
      <w:tblPr>
        <w:tblW w:w="9639" w:type="dxa"/>
        <w:jc w:val="start"/>
        <w:tblInd w:w="0" w:type="dxa"/>
        <w:tblLayout w:type="fixed"/>
        <w:tblCellMar>
          <w:top w:w="100" w:type="dxa"/>
          <w:start w:w="100" w:type="dxa"/>
          <w:bottom w:w="100" w:type="dxa"/>
          <w:end w:w="100" w:type="dxa"/>
        </w:tblCellMar>
        <w:tblLook w:val="04a0" w:firstRow="1" w:noVBand="1" w:lastRow="0" w:firstColumn="1" w:lastColumn="0" w:noHBand="0"/>
      </w:tblPr>
      <w:tblGrid>
        <w:gridCol w:w="3213"/>
        <w:gridCol w:w="3213"/>
        <w:gridCol w:w="3213"/>
      </w:tblGrid>
      <w:tr>
        <w:trPr/>
        <w:tc>
          <w:tcPr>
            <w:tcW w:w="3213" w:type="dxa"/>
            <w:tcBorders/>
          </w:tcPr>
          <w:p>
            <w:pPr>
              <w:pStyle w:val="Normal"/>
              <w:spacing w:lineRule="auto" w:line="276" w:before="0" w:after="0"/>
              <w:rPr/>
            </w:pPr>
            <w:r>
              <w:rPr>
                <w:rFonts w:ascii="Times New Roman" w:hAnsi="Times New Roman"/>
                <w:b/>
                <w:sz w:val="24"/>
              </w:rPr>
              <w:t>Indicateur</w:t>
            </w:r>
          </w:p>
        </w:tc>
        <w:tc>
          <w:tcPr>
            <w:tcW w:w="3213" w:type="dxa"/>
            <w:tcBorders/>
          </w:tcPr>
          <w:p>
            <w:pPr>
              <w:pStyle w:val="Normal"/>
              <w:spacing w:lineRule="auto" w:line="276" w:before="0" w:after="0"/>
              <w:rPr/>
            </w:pPr>
            <w:r>
              <w:rPr>
                <w:rFonts w:ascii="Times New Roman" w:hAnsi="Times New Roman"/>
                <w:b/>
                <w:sz w:val="24"/>
              </w:rPr>
              <w:t>Année 1</w:t>
            </w:r>
          </w:p>
        </w:tc>
        <w:tc>
          <w:tcPr>
            <w:tcW w:w="3213" w:type="dxa"/>
            <w:tcBorders/>
          </w:tcPr>
          <w:p>
            <w:pPr>
              <w:pStyle w:val="Normal"/>
              <w:spacing w:lineRule="auto" w:line="276" w:before="0" w:after="0"/>
              <w:rPr/>
            </w:pPr>
            <w:r>
              <w:rPr>
                <w:rFonts w:ascii="Times New Roman" w:hAnsi="Times New Roman"/>
                <w:b/>
                <w:sz w:val="24"/>
              </w:rPr>
              <w:t>Année 2 cible</w:t>
            </w:r>
          </w:p>
        </w:tc>
      </w:tr>
      <w:tr>
        <w:trPr/>
        <w:tc>
          <w:tcPr>
            <w:tcW w:w="3213" w:type="dxa"/>
            <w:tcBorders/>
          </w:tcPr>
          <w:p>
            <w:pPr>
              <w:pStyle w:val="Normal"/>
              <w:spacing w:lineRule="auto" w:line="276" w:before="0" w:after="0"/>
              <w:rPr/>
            </w:pPr>
            <w:r>
              <w:rPr>
                <w:rFonts w:ascii="Times New Roman" w:hAnsi="Times New Roman"/>
                <w:sz w:val="24"/>
              </w:rPr>
              <w:t>Réservations</w:t>
            </w:r>
          </w:p>
        </w:tc>
        <w:tc>
          <w:tcPr>
            <w:tcW w:w="3213" w:type="dxa"/>
            <w:tcBorders/>
          </w:tcPr>
          <w:p>
            <w:pPr>
              <w:pStyle w:val="Normal"/>
              <w:spacing w:lineRule="auto" w:line="276" w:before="0" w:after="0"/>
              <w:rPr/>
            </w:pPr>
            <w:r>
              <w:rPr>
                <w:rFonts w:ascii="Times New Roman" w:hAnsi="Times New Roman"/>
                <w:sz w:val="24"/>
              </w:rPr>
              <w:t>72</w:t>
            </w:r>
          </w:p>
        </w:tc>
        <w:tc>
          <w:tcPr>
            <w:tcW w:w="3213" w:type="dxa"/>
            <w:tcBorders/>
          </w:tcPr>
          <w:p>
            <w:pPr>
              <w:pStyle w:val="Normal"/>
              <w:spacing w:lineRule="auto" w:line="276" w:before="0" w:after="0"/>
              <w:rPr/>
            </w:pPr>
            <w:r>
              <w:rPr>
                <w:rFonts w:ascii="Times New Roman" w:hAnsi="Times New Roman"/>
                <w:sz w:val="24"/>
              </w:rPr>
              <w:t>180</w:t>
            </w:r>
          </w:p>
        </w:tc>
      </w:tr>
      <w:tr>
        <w:trPr/>
        <w:tc>
          <w:tcPr>
            <w:tcW w:w="3213" w:type="dxa"/>
            <w:tcBorders/>
          </w:tcPr>
          <w:p>
            <w:pPr>
              <w:pStyle w:val="Normal"/>
              <w:spacing w:lineRule="auto" w:line="276" w:before="0" w:after="0"/>
              <w:rPr/>
            </w:pPr>
            <w:r>
              <w:rPr>
                <w:rFonts w:ascii="Times New Roman" w:hAnsi="Times New Roman"/>
                <w:sz w:val="24"/>
              </w:rPr>
              <w:t>Volume de prestations</w:t>
            </w:r>
          </w:p>
        </w:tc>
        <w:tc>
          <w:tcPr>
            <w:tcW w:w="3213" w:type="dxa"/>
            <w:tcBorders/>
          </w:tcPr>
          <w:p>
            <w:pPr>
              <w:pStyle w:val="Normal"/>
              <w:spacing w:lineRule="auto" w:line="276" w:before="0" w:after="0"/>
              <w:rPr/>
            </w:pPr>
            <w:r>
              <w:rPr>
                <w:rFonts w:ascii="Times New Roman" w:hAnsi="Times New Roman"/>
                <w:sz w:val="24"/>
              </w:rPr>
              <w:t>46 800 EUR</w:t>
            </w:r>
          </w:p>
        </w:tc>
        <w:tc>
          <w:tcPr>
            <w:tcW w:w="3213" w:type="dxa"/>
            <w:tcBorders/>
          </w:tcPr>
          <w:p>
            <w:pPr>
              <w:pStyle w:val="Normal"/>
              <w:spacing w:lineRule="auto" w:line="276" w:before="0" w:after="0"/>
              <w:rPr/>
            </w:pPr>
            <w:r>
              <w:rPr>
                <w:rFonts w:ascii="Times New Roman" w:hAnsi="Times New Roman"/>
                <w:sz w:val="24"/>
              </w:rPr>
              <w:t>117 000 EUR</w:t>
            </w:r>
          </w:p>
        </w:tc>
      </w:tr>
      <w:tr>
        <w:trPr/>
        <w:tc>
          <w:tcPr>
            <w:tcW w:w="3213" w:type="dxa"/>
            <w:tcBorders/>
          </w:tcPr>
          <w:p>
            <w:pPr>
              <w:pStyle w:val="Normal"/>
              <w:spacing w:lineRule="auto" w:line="276" w:before="0" w:after="0"/>
              <w:rPr/>
            </w:pPr>
            <w:r>
              <w:rPr>
                <w:rFonts w:ascii="Times New Roman" w:hAnsi="Times New Roman"/>
                <w:sz w:val="24"/>
              </w:rPr>
              <w:t>Commission à 10 %</w:t>
            </w:r>
          </w:p>
        </w:tc>
        <w:tc>
          <w:tcPr>
            <w:tcW w:w="3213" w:type="dxa"/>
            <w:tcBorders/>
          </w:tcPr>
          <w:p>
            <w:pPr>
              <w:pStyle w:val="Normal"/>
              <w:spacing w:lineRule="auto" w:line="276" w:before="0" w:after="0"/>
              <w:rPr/>
            </w:pPr>
            <w:r>
              <w:rPr>
                <w:rFonts w:ascii="Times New Roman" w:hAnsi="Times New Roman"/>
                <w:sz w:val="24"/>
              </w:rPr>
              <w:t>4 680 EUR</w:t>
            </w:r>
          </w:p>
        </w:tc>
        <w:tc>
          <w:tcPr>
            <w:tcW w:w="3213" w:type="dxa"/>
            <w:tcBorders/>
          </w:tcPr>
          <w:p>
            <w:pPr>
              <w:pStyle w:val="Normal"/>
              <w:spacing w:lineRule="auto" w:line="276" w:before="0" w:after="0"/>
              <w:rPr/>
            </w:pPr>
            <w:r>
              <w:rPr>
                <w:rFonts w:ascii="Times New Roman" w:hAnsi="Times New Roman"/>
                <w:sz w:val="24"/>
              </w:rPr>
              <w:t>11 700 EUR</w:t>
            </w:r>
          </w:p>
        </w:tc>
      </w:tr>
      <w:tr>
        <w:trPr/>
        <w:tc>
          <w:tcPr>
            <w:tcW w:w="3213" w:type="dxa"/>
            <w:tcBorders/>
          </w:tcPr>
          <w:p>
            <w:pPr>
              <w:pStyle w:val="Normal"/>
              <w:spacing w:lineRule="auto" w:line="276" w:before="0" w:after="0"/>
              <w:rPr/>
            </w:pPr>
            <w:r>
              <w:rPr>
                <w:rFonts w:ascii="Times New Roman" w:hAnsi="Times New Roman"/>
                <w:sz w:val="24"/>
              </w:rPr>
              <w:t>Frais Stripe estimés</w:t>
            </w:r>
          </w:p>
        </w:tc>
        <w:tc>
          <w:tcPr>
            <w:tcW w:w="3213" w:type="dxa"/>
            <w:tcBorders/>
          </w:tcPr>
          <w:p>
            <w:pPr>
              <w:pStyle w:val="Normal"/>
              <w:spacing w:lineRule="auto" w:line="276" w:before="0" w:after="0"/>
              <w:rPr/>
            </w:pPr>
            <w:r>
              <w:rPr>
                <w:rFonts w:ascii="Times New Roman" w:hAnsi="Times New Roman"/>
                <w:sz w:val="24"/>
              </w:rPr>
              <w:t>720 EUR</w:t>
            </w:r>
          </w:p>
        </w:tc>
        <w:tc>
          <w:tcPr>
            <w:tcW w:w="3213" w:type="dxa"/>
            <w:tcBorders/>
          </w:tcPr>
          <w:p>
            <w:pPr>
              <w:pStyle w:val="Normal"/>
              <w:spacing w:lineRule="auto" w:line="276" w:before="0" w:after="0"/>
              <w:rPr/>
            </w:pPr>
            <w:r>
              <w:rPr>
                <w:rFonts w:ascii="Times New Roman" w:hAnsi="Times New Roman"/>
                <w:sz w:val="24"/>
              </w:rPr>
              <w:t>1 800 EUR</w:t>
            </w:r>
          </w:p>
        </w:tc>
      </w:tr>
      <w:tr>
        <w:trPr/>
        <w:tc>
          <w:tcPr>
            <w:tcW w:w="3213" w:type="dxa"/>
            <w:tcBorders/>
          </w:tcPr>
          <w:p>
            <w:pPr>
              <w:pStyle w:val="Normal"/>
              <w:spacing w:lineRule="auto" w:line="276" w:before="0" w:after="0"/>
              <w:rPr/>
            </w:pPr>
            <w:r>
              <w:rPr>
                <w:rFonts w:ascii="Times New Roman" w:hAnsi="Times New Roman"/>
                <w:sz w:val="24"/>
              </w:rPr>
              <w:t>Coûts fixes hors développement</w:t>
            </w:r>
          </w:p>
        </w:tc>
        <w:tc>
          <w:tcPr>
            <w:tcW w:w="3213" w:type="dxa"/>
            <w:tcBorders/>
          </w:tcPr>
          <w:p>
            <w:pPr>
              <w:pStyle w:val="Normal"/>
              <w:spacing w:lineRule="auto" w:line="276" w:before="0" w:after="0"/>
              <w:rPr/>
            </w:pPr>
            <w:r>
              <w:rPr>
                <w:rFonts w:ascii="Times New Roman" w:hAnsi="Times New Roman"/>
                <w:sz w:val="24"/>
              </w:rPr>
              <w:t>3 565 EUR</w:t>
            </w:r>
          </w:p>
        </w:tc>
        <w:tc>
          <w:tcPr>
            <w:tcW w:w="3213" w:type="dxa"/>
            <w:tcBorders/>
          </w:tcPr>
          <w:p>
            <w:pPr>
              <w:pStyle w:val="Normal"/>
              <w:spacing w:lineRule="auto" w:line="276" w:before="0" w:after="0"/>
              <w:rPr/>
            </w:pPr>
            <w:r>
              <w:rPr>
                <w:rFonts w:ascii="Times New Roman" w:hAnsi="Times New Roman"/>
                <w:sz w:val="24"/>
              </w:rPr>
              <w:t>4 200 EUR</w:t>
            </w:r>
          </w:p>
        </w:tc>
      </w:tr>
      <w:tr>
        <w:trPr/>
        <w:tc>
          <w:tcPr>
            <w:tcW w:w="3213" w:type="dxa"/>
            <w:tcBorders/>
          </w:tcPr>
          <w:p>
            <w:pPr>
              <w:pStyle w:val="Normal"/>
              <w:spacing w:lineRule="auto" w:line="276" w:before="0" w:after="0"/>
              <w:rPr/>
            </w:pPr>
            <w:r>
              <w:rPr>
                <w:rFonts w:ascii="Times New Roman" w:hAnsi="Times New Roman"/>
                <w:sz w:val="24"/>
              </w:rPr>
              <w:t>Résultat avant impôts</w:t>
            </w:r>
          </w:p>
        </w:tc>
        <w:tc>
          <w:tcPr>
            <w:tcW w:w="3213" w:type="dxa"/>
            <w:tcBorders/>
          </w:tcPr>
          <w:p>
            <w:pPr>
              <w:pStyle w:val="Normal"/>
              <w:spacing w:lineRule="auto" w:line="276" w:before="0" w:after="0"/>
              <w:rPr/>
            </w:pPr>
            <w:r>
              <w:rPr>
                <w:rFonts w:ascii="Times New Roman" w:hAnsi="Times New Roman"/>
                <w:sz w:val="24"/>
              </w:rPr>
              <w:t>-5 205 EUR</w:t>
            </w:r>
          </w:p>
        </w:tc>
        <w:tc>
          <w:tcPr>
            <w:tcW w:w="3213" w:type="dxa"/>
            <w:tcBorders/>
          </w:tcPr>
          <w:p>
            <w:pPr>
              <w:pStyle w:val="Normal"/>
              <w:spacing w:lineRule="auto" w:line="276" w:before="0" w:after="0"/>
              <w:rPr/>
            </w:pPr>
            <w:r>
              <w:rPr>
                <w:rFonts w:ascii="Times New Roman" w:hAnsi="Times New Roman"/>
                <w:sz w:val="24"/>
              </w:rPr>
              <w:t>5 700 EUR environ</w:t>
            </w:r>
          </w:p>
        </w:tc>
      </w:tr>
    </w:tbl>
    <w:p>
      <w:pPr>
        <w:pStyle w:val="Normal"/>
        <w:rPr/>
      </w:pPr>
      <w:r>
        <w:rPr/>
      </w:r>
    </w:p>
    <w:p>
      <w:pPr>
        <w:pStyle w:val="Normal"/>
        <w:spacing w:lineRule="auto" w:line="276" w:before="0" w:after="120"/>
        <w:rPr/>
      </w:pPr>
      <w:r>
        <w:rPr>
          <w:rFonts w:ascii="Times New Roman" w:hAnsi="Times New Roman"/>
          <w:sz w:val="24"/>
        </w:rPr>
        <w:t>Le seuil opérationnel hors coût initial est atteint autour de 67 réservations annuelles, soit environ 6 réservations par mois : les commissions doivent couvrir 3 565 EUR de coûts fixes et environ 10 EUR de frais moyens par réservation. Le remboursement du coût de développement intervient ensuite lorsque le volume dépasse durablement ce seuil. Ces chiffres sont un scénario prudent, non une prévision garantie.</w:t>
      </w:r>
    </w:p>
    <w:p>
      <w:pPr>
        <w:pStyle w:val="Heading2"/>
        <w:spacing w:lineRule="auto" w:line="276" w:before="160" w:after="120"/>
        <w:rPr/>
      </w:pPr>
      <w:r>
        <w:rPr>
          <w:rFonts w:ascii="Times New Roman" w:hAnsi="Times New Roman"/>
          <w:b/>
          <w:sz w:val="24"/>
        </w:rPr>
        <w:t>6.5 Trésorerie mensuelle prévisionnelle</w:t>
      </w:r>
    </w:p>
    <w:p>
      <w:pPr>
        <w:pStyle w:val="Normal"/>
        <w:spacing w:lineRule="auto" w:line="276" w:before="0" w:after="120"/>
        <w:rPr/>
      </w:pPr>
      <w:r>
        <w:rPr>
          <w:rFonts w:ascii="Times New Roman" w:hAnsi="Times New Roman"/>
          <w:sz w:val="24"/>
        </w:rPr>
        <w:t>La rentabilité annuelle ne suffit pas à montrer la situation financière réelle. Le tableau ci-dessous présente les encaissements et décaissements mensuels du scénario réaliste. Le coût de développement est placé en janvier afin de visualiser l'effort initial de trésorerie. Les montants sont arrondis et servent à apprécier le besoin de financement, pas à établir une comptabilité définitive.</w:t>
      </w:r>
    </w:p>
    <w:tbl>
      <w:tblPr>
        <w:tblW w:w="9636" w:type="dxa"/>
        <w:jc w:val="start"/>
        <w:tblInd w:w="0" w:type="dxa"/>
        <w:tblLayout w:type="fixed"/>
        <w:tblCellMar>
          <w:top w:w="100" w:type="dxa"/>
          <w:start w:w="100" w:type="dxa"/>
          <w:bottom w:w="100" w:type="dxa"/>
          <w:end w:w="100" w:type="dxa"/>
        </w:tblCellMar>
        <w:tblLook w:val="04a0" w:firstRow="1" w:noVBand="1" w:lastRow="0" w:firstColumn="1" w:lastColumn="0" w:noHBand="0"/>
      </w:tblPr>
      <w:tblGrid>
        <w:gridCol w:w="1606"/>
        <w:gridCol w:w="1605"/>
        <w:gridCol w:w="1607"/>
        <w:gridCol w:w="1606"/>
        <w:gridCol w:w="1605"/>
        <w:gridCol w:w="1607"/>
      </w:tblGrid>
      <w:tr>
        <w:trPr/>
        <w:tc>
          <w:tcPr>
            <w:tcW w:w="1606" w:type="dxa"/>
            <w:tcBorders/>
          </w:tcPr>
          <w:p>
            <w:pPr>
              <w:pStyle w:val="Normal"/>
              <w:spacing w:lineRule="auto" w:line="276" w:before="0" w:after="0"/>
              <w:rPr/>
            </w:pPr>
            <w:r>
              <w:rPr>
                <w:rFonts w:ascii="Times New Roman" w:hAnsi="Times New Roman"/>
                <w:b/>
                <w:sz w:val="24"/>
              </w:rPr>
              <w:t>Mois</w:t>
            </w:r>
          </w:p>
        </w:tc>
        <w:tc>
          <w:tcPr>
            <w:tcW w:w="1605" w:type="dxa"/>
            <w:tcBorders/>
          </w:tcPr>
          <w:p>
            <w:pPr>
              <w:pStyle w:val="Normal"/>
              <w:spacing w:lineRule="auto" w:line="276" w:before="0" w:after="0"/>
              <w:rPr/>
            </w:pPr>
            <w:r>
              <w:rPr>
                <w:rFonts w:ascii="Times New Roman" w:hAnsi="Times New Roman"/>
                <w:b/>
                <w:sz w:val="24"/>
              </w:rPr>
              <w:t>Réservations</w:t>
            </w:r>
          </w:p>
        </w:tc>
        <w:tc>
          <w:tcPr>
            <w:tcW w:w="1607" w:type="dxa"/>
            <w:tcBorders/>
          </w:tcPr>
          <w:p>
            <w:pPr>
              <w:pStyle w:val="Normal"/>
              <w:spacing w:lineRule="auto" w:line="276" w:before="0" w:after="0"/>
              <w:rPr/>
            </w:pPr>
            <w:r>
              <w:rPr>
                <w:rFonts w:ascii="Times New Roman" w:hAnsi="Times New Roman"/>
                <w:b/>
                <w:sz w:val="24"/>
              </w:rPr>
              <w:t>Commissions encaissées</w:t>
            </w:r>
          </w:p>
        </w:tc>
        <w:tc>
          <w:tcPr>
            <w:tcW w:w="1606" w:type="dxa"/>
            <w:tcBorders/>
          </w:tcPr>
          <w:p>
            <w:pPr>
              <w:pStyle w:val="Normal"/>
              <w:spacing w:lineRule="auto" w:line="276" w:before="0" w:after="0"/>
              <w:rPr/>
            </w:pPr>
            <w:r>
              <w:rPr>
                <w:rFonts w:ascii="Times New Roman" w:hAnsi="Times New Roman"/>
                <w:b/>
                <w:sz w:val="24"/>
              </w:rPr>
              <w:t>Frais Stripe</w:t>
            </w:r>
          </w:p>
        </w:tc>
        <w:tc>
          <w:tcPr>
            <w:tcW w:w="1605" w:type="dxa"/>
            <w:tcBorders/>
          </w:tcPr>
          <w:p>
            <w:pPr>
              <w:pStyle w:val="Normal"/>
              <w:spacing w:lineRule="auto" w:line="276" w:before="0" w:after="0"/>
              <w:rPr/>
            </w:pPr>
            <w:r>
              <w:rPr>
                <w:rFonts w:ascii="Times New Roman" w:hAnsi="Times New Roman"/>
                <w:b/>
                <w:sz w:val="24"/>
              </w:rPr>
              <w:t>Coûts fixes</w:t>
            </w:r>
          </w:p>
        </w:tc>
        <w:tc>
          <w:tcPr>
            <w:tcW w:w="1607" w:type="dxa"/>
            <w:tcBorders/>
          </w:tcPr>
          <w:p>
            <w:pPr>
              <w:pStyle w:val="Normal"/>
              <w:spacing w:lineRule="auto" w:line="276" w:before="0" w:after="0"/>
              <w:rPr/>
            </w:pPr>
            <w:r>
              <w:rPr>
                <w:rFonts w:ascii="Times New Roman" w:hAnsi="Times New Roman"/>
                <w:b/>
                <w:sz w:val="24"/>
              </w:rPr>
              <w:t>Flux net</w:t>
            </w:r>
          </w:p>
        </w:tc>
      </w:tr>
      <w:tr>
        <w:trPr/>
        <w:tc>
          <w:tcPr>
            <w:tcW w:w="1606" w:type="dxa"/>
            <w:tcBorders/>
          </w:tcPr>
          <w:p>
            <w:pPr>
              <w:pStyle w:val="Normal"/>
              <w:spacing w:lineRule="auto" w:line="276" w:before="0" w:after="0"/>
              <w:rPr/>
            </w:pPr>
            <w:r>
              <w:rPr>
                <w:rFonts w:ascii="Times New Roman" w:hAnsi="Times New Roman"/>
                <w:sz w:val="24"/>
              </w:rPr>
              <w:t>Janvier</w:t>
            </w:r>
          </w:p>
        </w:tc>
        <w:tc>
          <w:tcPr>
            <w:tcW w:w="1605" w:type="dxa"/>
            <w:tcBorders/>
          </w:tcPr>
          <w:p>
            <w:pPr>
              <w:pStyle w:val="Normal"/>
              <w:spacing w:lineRule="auto" w:line="276" w:before="0" w:after="0"/>
              <w:rPr/>
            </w:pPr>
            <w:r>
              <w:rPr>
                <w:rFonts w:ascii="Times New Roman" w:hAnsi="Times New Roman"/>
                <w:sz w:val="24"/>
              </w:rPr>
              <w:t>3</w:t>
            </w:r>
          </w:p>
        </w:tc>
        <w:tc>
          <w:tcPr>
            <w:tcW w:w="1607" w:type="dxa"/>
            <w:tcBorders/>
          </w:tcPr>
          <w:p>
            <w:pPr>
              <w:pStyle w:val="Normal"/>
              <w:spacing w:lineRule="auto" w:line="276" w:before="0" w:after="0"/>
              <w:rPr/>
            </w:pPr>
            <w:r>
              <w:rPr>
                <w:rFonts w:ascii="Times New Roman" w:hAnsi="Times New Roman"/>
                <w:sz w:val="24"/>
              </w:rPr>
              <w:t>195 EUR</w:t>
            </w:r>
          </w:p>
        </w:tc>
        <w:tc>
          <w:tcPr>
            <w:tcW w:w="1606" w:type="dxa"/>
            <w:tcBorders/>
          </w:tcPr>
          <w:p>
            <w:pPr>
              <w:pStyle w:val="Normal"/>
              <w:spacing w:lineRule="auto" w:line="276" w:before="0" w:after="0"/>
              <w:rPr/>
            </w:pPr>
            <w:r>
              <w:rPr>
                <w:rFonts w:ascii="Times New Roman" w:hAnsi="Times New Roman"/>
                <w:sz w:val="24"/>
              </w:rPr>
              <w:t>30 EUR</w:t>
            </w:r>
          </w:p>
        </w:tc>
        <w:tc>
          <w:tcPr>
            <w:tcW w:w="1605" w:type="dxa"/>
            <w:tcBorders/>
          </w:tcPr>
          <w:p>
            <w:pPr>
              <w:pStyle w:val="Normal"/>
              <w:spacing w:lineRule="auto" w:line="276" w:before="0" w:after="0"/>
              <w:rPr/>
            </w:pPr>
            <w:r>
              <w:rPr>
                <w:rFonts w:ascii="Times New Roman" w:hAnsi="Times New Roman"/>
                <w:sz w:val="24"/>
              </w:rPr>
              <w:t>5 897 EUR</w:t>
            </w:r>
          </w:p>
        </w:tc>
        <w:tc>
          <w:tcPr>
            <w:tcW w:w="1607" w:type="dxa"/>
            <w:tcBorders/>
          </w:tcPr>
          <w:p>
            <w:pPr>
              <w:pStyle w:val="Normal"/>
              <w:spacing w:lineRule="auto" w:line="276" w:before="0" w:after="0"/>
              <w:rPr/>
            </w:pPr>
            <w:r>
              <w:rPr>
                <w:rFonts w:ascii="Times New Roman" w:hAnsi="Times New Roman"/>
                <w:sz w:val="24"/>
              </w:rPr>
              <w:t>-5 732 EUR</w:t>
            </w:r>
          </w:p>
        </w:tc>
      </w:tr>
      <w:tr>
        <w:trPr/>
        <w:tc>
          <w:tcPr>
            <w:tcW w:w="1606" w:type="dxa"/>
            <w:tcBorders/>
          </w:tcPr>
          <w:p>
            <w:pPr>
              <w:pStyle w:val="Normal"/>
              <w:spacing w:lineRule="auto" w:line="276" w:before="0" w:after="0"/>
              <w:rPr/>
            </w:pPr>
            <w:r>
              <w:rPr>
                <w:rFonts w:ascii="Times New Roman" w:hAnsi="Times New Roman"/>
                <w:sz w:val="24"/>
              </w:rPr>
              <w:t>Février</w:t>
            </w:r>
          </w:p>
        </w:tc>
        <w:tc>
          <w:tcPr>
            <w:tcW w:w="1605" w:type="dxa"/>
            <w:tcBorders/>
          </w:tcPr>
          <w:p>
            <w:pPr>
              <w:pStyle w:val="Normal"/>
              <w:spacing w:lineRule="auto" w:line="276" w:before="0" w:after="0"/>
              <w:rPr/>
            </w:pPr>
            <w:r>
              <w:rPr>
                <w:rFonts w:ascii="Times New Roman" w:hAnsi="Times New Roman"/>
                <w:sz w:val="24"/>
              </w:rPr>
              <w:t>3</w:t>
            </w:r>
          </w:p>
        </w:tc>
        <w:tc>
          <w:tcPr>
            <w:tcW w:w="1607" w:type="dxa"/>
            <w:tcBorders/>
          </w:tcPr>
          <w:p>
            <w:pPr>
              <w:pStyle w:val="Normal"/>
              <w:spacing w:lineRule="auto" w:line="276" w:before="0" w:after="0"/>
              <w:rPr/>
            </w:pPr>
            <w:r>
              <w:rPr>
                <w:rFonts w:ascii="Times New Roman" w:hAnsi="Times New Roman"/>
                <w:sz w:val="24"/>
              </w:rPr>
              <w:t>195 EUR</w:t>
            </w:r>
          </w:p>
        </w:tc>
        <w:tc>
          <w:tcPr>
            <w:tcW w:w="1606" w:type="dxa"/>
            <w:tcBorders/>
          </w:tcPr>
          <w:p>
            <w:pPr>
              <w:pStyle w:val="Normal"/>
              <w:spacing w:lineRule="auto" w:line="276" w:before="0" w:after="0"/>
              <w:rPr/>
            </w:pPr>
            <w:r>
              <w:rPr>
                <w:rFonts w:ascii="Times New Roman" w:hAnsi="Times New Roman"/>
                <w:sz w:val="24"/>
              </w:rPr>
              <w:t>30 EUR</w:t>
            </w:r>
          </w:p>
        </w:tc>
        <w:tc>
          <w:tcPr>
            <w:tcW w:w="1605" w:type="dxa"/>
            <w:tcBorders/>
          </w:tcPr>
          <w:p>
            <w:pPr>
              <w:pStyle w:val="Normal"/>
              <w:spacing w:lineRule="auto" w:line="276" w:before="0" w:after="0"/>
              <w:rPr/>
            </w:pPr>
            <w:r>
              <w:rPr>
                <w:rFonts w:ascii="Times New Roman" w:hAnsi="Times New Roman"/>
                <w:sz w:val="24"/>
              </w:rPr>
              <w:t>297 EUR</w:t>
            </w:r>
          </w:p>
        </w:tc>
        <w:tc>
          <w:tcPr>
            <w:tcW w:w="1607" w:type="dxa"/>
            <w:tcBorders/>
          </w:tcPr>
          <w:p>
            <w:pPr>
              <w:pStyle w:val="Normal"/>
              <w:spacing w:lineRule="auto" w:line="276" w:before="0" w:after="0"/>
              <w:rPr/>
            </w:pPr>
            <w:r>
              <w:rPr>
                <w:rFonts w:ascii="Times New Roman" w:hAnsi="Times New Roman"/>
                <w:sz w:val="24"/>
              </w:rPr>
              <w:t>-132 EUR</w:t>
            </w:r>
          </w:p>
        </w:tc>
      </w:tr>
      <w:tr>
        <w:trPr/>
        <w:tc>
          <w:tcPr>
            <w:tcW w:w="1606" w:type="dxa"/>
            <w:tcBorders/>
          </w:tcPr>
          <w:p>
            <w:pPr>
              <w:pStyle w:val="Normal"/>
              <w:spacing w:lineRule="auto" w:line="276" w:before="0" w:after="0"/>
              <w:rPr/>
            </w:pPr>
            <w:r>
              <w:rPr>
                <w:rFonts w:ascii="Times New Roman" w:hAnsi="Times New Roman"/>
                <w:sz w:val="24"/>
              </w:rPr>
              <w:t>Mars</w:t>
            </w:r>
          </w:p>
        </w:tc>
        <w:tc>
          <w:tcPr>
            <w:tcW w:w="1605" w:type="dxa"/>
            <w:tcBorders/>
          </w:tcPr>
          <w:p>
            <w:pPr>
              <w:pStyle w:val="Normal"/>
              <w:spacing w:lineRule="auto" w:line="276" w:before="0" w:after="0"/>
              <w:rPr/>
            </w:pPr>
            <w:r>
              <w:rPr>
                <w:rFonts w:ascii="Times New Roman" w:hAnsi="Times New Roman"/>
                <w:sz w:val="24"/>
              </w:rPr>
              <w:t>4</w:t>
            </w:r>
          </w:p>
        </w:tc>
        <w:tc>
          <w:tcPr>
            <w:tcW w:w="1607" w:type="dxa"/>
            <w:tcBorders/>
          </w:tcPr>
          <w:p>
            <w:pPr>
              <w:pStyle w:val="Normal"/>
              <w:spacing w:lineRule="auto" w:line="276" w:before="0" w:after="0"/>
              <w:rPr/>
            </w:pPr>
            <w:r>
              <w:rPr>
                <w:rFonts w:ascii="Times New Roman" w:hAnsi="Times New Roman"/>
                <w:sz w:val="24"/>
              </w:rPr>
              <w:t>260 EUR</w:t>
            </w:r>
          </w:p>
        </w:tc>
        <w:tc>
          <w:tcPr>
            <w:tcW w:w="1606" w:type="dxa"/>
            <w:tcBorders/>
          </w:tcPr>
          <w:p>
            <w:pPr>
              <w:pStyle w:val="Normal"/>
              <w:spacing w:lineRule="auto" w:line="276" w:before="0" w:after="0"/>
              <w:rPr/>
            </w:pPr>
            <w:r>
              <w:rPr>
                <w:rFonts w:ascii="Times New Roman" w:hAnsi="Times New Roman"/>
                <w:sz w:val="24"/>
              </w:rPr>
              <w:t>40 EUR</w:t>
            </w:r>
          </w:p>
        </w:tc>
        <w:tc>
          <w:tcPr>
            <w:tcW w:w="1605" w:type="dxa"/>
            <w:tcBorders/>
          </w:tcPr>
          <w:p>
            <w:pPr>
              <w:pStyle w:val="Normal"/>
              <w:spacing w:lineRule="auto" w:line="276" w:before="0" w:after="0"/>
              <w:rPr/>
            </w:pPr>
            <w:r>
              <w:rPr>
                <w:rFonts w:ascii="Times New Roman" w:hAnsi="Times New Roman"/>
                <w:sz w:val="24"/>
              </w:rPr>
              <w:t>297 EUR</w:t>
            </w:r>
          </w:p>
        </w:tc>
        <w:tc>
          <w:tcPr>
            <w:tcW w:w="1607" w:type="dxa"/>
            <w:tcBorders/>
          </w:tcPr>
          <w:p>
            <w:pPr>
              <w:pStyle w:val="Normal"/>
              <w:spacing w:lineRule="auto" w:line="276" w:before="0" w:after="0"/>
              <w:rPr/>
            </w:pPr>
            <w:r>
              <w:rPr>
                <w:rFonts w:ascii="Times New Roman" w:hAnsi="Times New Roman"/>
                <w:sz w:val="24"/>
              </w:rPr>
              <w:t>-77 EUR</w:t>
            </w:r>
          </w:p>
        </w:tc>
      </w:tr>
      <w:tr>
        <w:trPr/>
        <w:tc>
          <w:tcPr>
            <w:tcW w:w="1606" w:type="dxa"/>
            <w:tcBorders/>
          </w:tcPr>
          <w:p>
            <w:pPr>
              <w:pStyle w:val="Normal"/>
              <w:spacing w:lineRule="auto" w:line="276" w:before="0" w:after="0"/>
              <w:rPr/>
            </w:pPr>
            <w:r>
              <w:rPr>
                <w:rFonts w:ascii="Times New Roman" w:hAnsi="Times New Roman"/>
                <w:sz w:val="24"/>
              </w:rPr>
              <w:t>Avril</w:t>
            </w:r>
          </w:p>
        </w:tc>
        <w:tc>
          <w:tcPr>
            <w:tcW w:w="1605" w:type="dxa"/>
            <w:tcBorders/>
          </w:tcPr>
          <w:p>
            <w:pPr>
              <w:pStyle w:val="Normal"/>
              <w:spacing w:lineRule="auto" w:line="276" w:before="0" w:after="0"/>
              <w:rPr/>
            </w:pPr>
            <w:r>
              <w:rPr>
                <w:rFonts w:ascii="Times New Roman" w:hAnsi="Times New Roman"/>
                <w:sz w:val="24"/>
              </w:rPr>
              <w:t>5</w:t>
            </w:r>
          </w:p>
        </w:tc>
        <w:tc>
          <w:tcPr>
            <w:tcW w:w="1607" w:type="dxa"/>
            <w:tcBorders/>
          </w:tcPr>
          <w:p>
            <w:pPr>
              <w:pStyle w:val="Normal"/>
              <w:spacing w:lineRule="auto" w:line="276" w:before="0" w:after="0"/>
              <w:rPr/>
            </w:pPr>
            <w:r>
              <w:rPr>
                <w:rFonts w:ascii="Times New Roman" w:hAnsi="Times New Roman"/>
                <w:sz w:val="24"/>
              </w:rPr>
              <w:t>325 EUR</w:t>
            </w:r>
          </w:p>
        </w:tc>
        <w:tc>
          <w:tcPr>
            <w:tcW w:w="1606" w:type="dxa"/>
            <w:tcBorders/>
          </w:tcPr>
          <w:p>
            <w:pPr>
              <w:pStyle w:val="Normal"/>
              <w:spacing w:lineRule="auto" w:line="276" w:before="0" w:after="0"/>
              <w:rPr/>
            </w:pPr>
            <w:r>
              <w:rPr>
                <w:rFonts w:ascii="Times New Roman" w:hAnsi="Times New Roman"/>
                <w:sz w:val="24"/>
              </w:rPr>
              <w:t>50 EUR</w:t>
            </w:r>
          </w:p>
        </w:tc>
        <w:tc>
          <w:tcPr>
            <w:tcW w:w="1605" w:type="dxa"/>
            <w:tcBorders/>
          </w:tcPr>
          <w:p>
            <w:pPr>
              <w:pStyle w:val="Normal"/>
              <w:spacing w:lineRule="auto" w:line="276" w:before="0" w:after="0"/>
              <w:rPr/>
            </w:pPr>
            <w:r>
              <w:rPr>
                <w:rFonts w:ascii="Times New Roman" w:hAnsi="Times New Roman"/>
                <w:sz w:val="24"/>
              </w:rPr>
              <w:t>297 EUR</w:t>
            </w:r>
          </w:p>
        </w:tc>
        <w:tc>
          <w:tcPr>
            <w:tcW w:w="1607" w:type="dxa"/>
            <w:tcBorders/>
          </w:tcPr>
          <w:p>
            <w:pPr>
              <w:pStyle w:val="Normal"/>
              <w:spacing w:lineRule="auto" w:line="276" w:before="0" w:after="0"/>
              <w:rPr/>
            </w:pPr>
            <w:r>
              <w:rPr>
                <w:rFonts w:ascii="Times New Roman" w:hAnsi="Times New Roman"/>
                <w:sz w:val="24"/>
              </w:rPr>
              <w:t>-22 EUR</w:t>
            </w:r>
          </w:p>
        </w:tc>
      </w:tr>
      <w:tr>
        <w:trPr/>
        <w:tc>
          <w:tcPr>
            <w:tcW w:w="1606" w:type="dxa"/>
            <w:tcBorders/>
          </w:tcPr>
          <w:p>
            <w:pPr>
              <w:pStyle w:val="Normal"/>
              <w:spacing w:lineRule="auto" w:line="276" w:before="0" w:after="0"/>
              <w:rPr/>
            </w:pPr>
            <w:r>
              <w:rPr>
                <w:rFonts w:ascii="Times New Roman" w:hAnsi="Times New Roman"/>
                <w:sz w:val="24"/>
              </w:rPr>
              <w:t>Mai</w:t>
            </w:r>
          </w:p>
        </w:tc>
        <w:tc>
          <w:tcPr>
            <w:tcW w:w="1605" w:type="dxa"/>
            <w:tcBorders/>
          </w:tcPr>
          <w:p>
            <w:pPr>
              <w:pStyle w:val="Normal"/>
              <w:spacing w:lineRule="auto" w:line="276" w:before="0" w:after="0"/>
              <w:rPr/>
            </w:pPr>
            <w:r>
              <w:rPr>
                <w:rFonts w:ascii="Times New Roman" w:hAnsi="Times New Roman"/>
                <w:sz w:val="24"/>
              </w:rPr>
              <w:t>6</w:t>
            </w:r>
          </w:p>
        </w:tc>
        <w:tc>
          <w:tcPr>
            <w:tcW w:w="1607" w:type="dxa"/>
            <w:tcBorders/>
          </w:tcPr>
          <w:p>
            <w:pPr>
              <w:pStyle w:val="Normal"/>
              <w:spacing w:lineRule="auto" w:line="276" w:before="0" w:after="0"/>
              <w:rPr/>
            </w:pPr>
            <w:r>
              <w:rPr>
                <w:rFonts w:ascii="Times New Roman" w:hAnsi="Times New Roman"/>
                <w:sz w:val="24"/>
              </w:rPr>
              <w:t>390 EUR</w:t>
            </w:r>
          </w:p>
        </w:tc>
        <w:tc>
          <w:tcPr>
            <w:tcW w:w="1606" w:type="dxa"/>
            <w:tcBorders/>
          </w:tcPr>
          <w:p>
            <w:pPr>
              <w:pStyle w:val="Normal"/>
              <w:spacing w:lineRule="auto" w:line="276" w:before="0" w:after="0"/>
              <w:rPr/>
            </w:pPr>
            <w:r>
              <w:rPr>
                <w:rFonts w:ascii="Times New Roman" w:hAnsi="Times New Roman"/>
                <w:sz w:val="24"/>
              </w:rPr>
              <w:t>60 EUR</w:t>
            </w:r>
          </w:p>
        </w:tc>
        <w:tc>
          <w:tcPr>
            <w:tcW w:w="1605" w:type="dxa"/>
            <w:tcBorders/>
          </w:tcPr>
          <w:p>
            <w:pPr>
              <w:pStyle w:val="Normal"/>
              <w:spacing w:lineRule="auto" w:line="276" w:before="0" w:after="0"/>
              <w:rPr/>
            </w:pPr>
            <w:r>
              <w:rPr>
                <w:rFonts w:ascii="Times New Roman" w:hAnsi="Times New Roman"/>
                <w:sz w:val="24"/>
              </w:rPr>
              <w:t>297 EUR</w:t>
            </w:r>
          </w:p>
        </w:tc>
        <w:tc>
          <w:tcPr>
            <w:tcW w:w="1607" w:type="dxa"/>
            <w:tcBorders/>
          </w:tcPr>
          <w:p>
            <w:pPr>
              <w:pStyle w:val="Normal"/>
              <w:spacing w:lineRule="auto" w:line="276" w:before="0" w:after="0"/>
              <w:rPr/>
            </w:pPr>
            <w:r>
              <w:rPr>
                <w:rFonts w:ascii="Times New Roman" w:hAnsi="Times New Roman"/>
                <w:sz w:val="24"/>
              </w:rPr>
              <w:t>33 EUR</w:t>
            </w:r>
          </w:p>
        </w:tc>
      </w:tr>
      <w:tr>
        <w:trPr/>
        <w:tc>
          <w:tcPr>
            <w:tcW w:w="1606" w:type="dxa"/>
            <w:tcBorders/>
          </w:tcPr>
          <w:p>
            <w:pPr>
              <w:pStyle w:val="Normal"/>
              <w:spacing w:lineRule="auto" w:line="276" w:before="0" w:after="0"/>
              <w:rPr/>
            </w:pPr>
            <w:r>
              <w:rPr>
                <w:rFonts w:ascii="Times New Roman" w:hAnsi="Times New Roman"/>
                <w:sz w:val="24"/>
              </w:rPr>
              <w:t>Juin</w:t>
            </w:r>
          </w:p>
        </w:tc>
        <w:tc>
          <w:tcPr>
            <w:tcW w:w="1605" w:type="dxa"/>
            <w:tcBorders/>
          </w:tcPr>
          <w:p>
            <w:pPr>
              <w:pStyle w:val="Normal"/>
              <w:spacing w:lineRule="auto" w:line="276" w:before="0" w:after="0"/>
              <w:rPr/>
            </w:pPr>
            <w:r>
              <w:rPr>
                <w:rFonts w:ascii="Times New Roman" w:hAnsi="Times New Roman"/>
                <w:sz w:val="24"/>
              </w:rPr>
              <w:t>8</w:t>
            </w:r>
          </w:p>
        </w:tc>
        <w:tc>
          <w:tcPr>
            <w:tcW w:w="1607" w:type="dxa"/>
            <w:tcBorders/>
          </w:tcPr>
          <w:p>
            <w:pPr>
              <w:pStyle w:val="Normal"/>
              <w:spacing w:lineRule="auto" w:line="276" w:before="0" w:after="0"/>
              <w:rPr/>
            </w:pPr>
            <w:r>
              <w:rPr>
                <w:rFonts w:ascii="Times New Roman" w:hAnsi="Times New Roman"/>
                <w:sz w:val="24"/>
              </w:rPr>
              <w:t>520 EUR</w:t>
            </w:r>
          </w:p>
        </w:tc>
        <w:tc>
          <w:tcPr>
            <w:tcW w:w="1606" w:type="dxa"/>
            <w:tcBorders/>
          </w:tcPr>
          <w:p>
            <w:pPr>
              <w:pStyle w:val="Normal"/>
              <w:spacing w:lineRule="auto" w:line="276" w:before="0" w:after="0"/>
              <w:rPr/>
            </w:pPr>
            <w:r>
              <w:rPr>
                <w:rFonts w:ascii="Times New Roman" w:hAnsi="Times New Roman"/>
                <w:sz w:val="24"/>
              </w:rPr>
              <w:t>80 EUR</w:t>
            </w:r>
          </w:p>
        </w:tc>
        <w:tc>
          <w:tcPr>
            <w:tcW w:w="1605" w:type="dxa"/>
            <w:tcBorders/>
          </w:tcPr>
          <w:p>
            <w:pPr>
              <w:pStyle w:val="Normal"/>
              <w:spacing w:lineRule="auto" w:line="276" w:before="0" w:after="0"/>
              <w:rPr/>
            </w:pPr>
            <w:r>
              <w:rPr>
                <w:rFonts w:ascii="Times New Roman" w:hAnsi="Times New Roman"/>
                <w:sz w:val="24"/>
              </w:rPr>
              <w:t>297 EUR</w:t>
            </w:r>
          </w:p>
        </w:tc>
        <w:tc>
          <w:tcPr>
            <w:tcW w:w="1607" w:type="dxa"/>
            <w:tcBorders/>
          </w:tcPr>
          <w:p>
            <w:pPr>
              <w:pStyle w:val="Normal"/>
              <w:spacing w:lineRule="auto" w:line="276" w:before="0" w:after="0"/>
              <w:rPr/>
            </w:pPr>
            <w:r>
              <w:rPr>
                <w:rFonts w:ascii="Times New Roman" w:hAnsi="Times New Roman"/>
                <w:sz w:val="24"/>
              </w:rPr>
              <w:t>143 EUR</w:t>
            </w:r>
          </w:p>
        </w:tc>
      </w:tr>
      <w:tr>
        <w:trPr/>
        <w:tc>
          <w:tcPr>
            <w:tcW w:w="1606" w:type="dxa"/>
            <w:tcBorders/>
          </w:tcPr>
          <w:p>
            <w:pPr>
              <w:pStyle w:val="Normal"/>
              <w:spacing w:lineRule="auto" w:line="276" w:before="0" w:after="0"/>
              <w:rPr/>
            </w:pPr>
            <w:r>
              <w:rPr>
                <w:rFonts w:ascii="Times New Roman" w:hAnsi="Times New Roman"/>
                <w:sz w:val="24"/>
              </w:rPr>
              <w:t>Juillet</w:t>
            </w:r>
          </w:p>
        </w:tc>
        <w:tc>
          <w:tcPr>
            <w:tcW w:w="1605" w:type="dxa"/>
            <w:tcBorders/>
          </w:tcPr>
          <w:p>
            <w:pPr>
              <w:pStyle w:val="Normal"/>
              <w:spacing w:lineRule="auto" w:line="276" w:before="0" w:after="0"/>
              <w:rPr/>
            </w:pPr>
            <w:r>
              <w:rPr>
                <w:rFonts w:ascii="Times New Roman" w:hAnsi="Times New Roman"/>
                <w:sz w:val="24"/>
              </w:rPr>
              <w:t>9</w:t>
            </w:r>
          </w:p>
        </w:tc>
        <w:tc>
          <w:tcPr>
            <w:tcW w:w="1607" w:type="dxa"/>
            <w:tcBorders/>
          </w:tcPr>
          <w:p>
            <w:pPr>
              <w:pStyle w:val="Normal"/>
              <w:spacing w:lineRule="auto" w:line="276" w:before="0" w:after="0"/>
              <w:rPr/>
            </w:pPr>
            <w:r>
              <w:rPr>
                <w:rFonts w:ascii="Times New Roman" w:hAnsi="Times New Roman"/>
                <w:sz w:val="24"/>
              </w:rPr>
              <w:t>585 EUR</w:t>
            </w:r>
          </w:p>
        </w:tc>
        <w:tc>
          <w:tcPr>
            <w:tcW w:w="1606" w:type="dxa"/>
            <w:tcBorders/>
          </w:tcPr>
          <w:p>
            <w:pPr>
              <w:pStyle w:val="Normal"/>
              <w:spacing w:lineRule="auto" w:line="276" w:before="0" w:after="0"/>
              <w:rPr/>
            </w:pPr>
            <w:r>
              <w:rPr>
                <w:rFonts w:ascii="Times New Roman" w:hAnsi="Times New Roman"/>
                <w:sz w:val="24"/>
              </w:rPr>
              <w:t>90 EUR</w:t>
            </w:r>
          </w:p>
        </w:tc>
        <w:tc>
          <w:tcPr>
            <w:tcW w:w="1605" w:type="dxa"/>
            <w:tcBorders/>
          </w:tcPr>
          <w:p>
            <w:pPr>
              <w:pStyle w:val="Normal"/>
              <w:spacing w:lineRule="auto" w:line="276" w:before="0" w:after="0"/>
              <w:rPr/>
            </w:pPr>
            <w:r>
              <w:rPr>
                <w:rFonts w:ascii="Times New Roman" w:hAnsi="Times New Roman"/>
                <w:sz w:val="24"/>
              </w:rPr>
              <w:t>297 EUR</w:t>
            </w:r>
          </w:p>
        </w:tc>
        <w:tc>
          <w:tcPr>
            <w:tcW w:w="1607" w:type="dxa"/>
            <w:tcBorders/>
          </w:tcPr>
          <w:p>
            <w:pPr>
              <w:pStyle w:val="Normal"/>
              <w:spacing w:lineRule="auto" w:line="276" w:before="0" w:after="0"/>
              <w:rPr/>
            </w:pPr>
            <w:r>
              <w:rPr>
                <w:rFonts w:ascii="Times New Roman" w:hAnsi="Times New Roman"/>
                <w:sz w:val="24"/>
              </w:rPr>
              <w:t>198 EUR</w:t>
            </w:r>
          </w:p>
        </w:tc>
      </w:tr>
      <w:tr>
        <w:trPr/>
        <w:tc>
          <w:tcPr>
            <w:tcW w:w="1606" w:type="dxa"/>
            <w:tcBorders/>
          </w:tcPr>
          <w:p>
            <w:pPr>
              <w:pStyle w:val="Normal"/>
              <w:spacing w:lineRule="auto" w:line="276" w:before="0" w:after="0"/>
              <w:rPr/>
            </w:pPr>
            <w:r>
              <w:rPr>
                <w:rFonts w:ascii="Times New Roman" w:hAnsi="Times New Roman"/>
                <w:sz w:val="24"/>
              </w:rPr>
              <w:t>Août</w:t>
            </w:r>
          </w:p>
        </w:tc>
        <w:tc>
          <w:tcPr>
            <w:tcW w:w="1605" w:type="dxa"/>
            <w:tcBorders/>
          </w:tcPr>
          <w:p>
            <w:pPr>
              <w:pStyle w:val="Normal"/>
              <w:spacing w:lineRule="auto" w:line="276" w:before="0" w:after="0"/>
              <w:rPr/>
            </w:pPr>
            <w:r>
              <w:rPr>
                <w:rFonts w:ascii="Times New Roman" w:hAnsi="Times New Roman"/>
                <w:sz w:val="24"/>
              </w:rPr>
              <w:t>9</w:t>
            </w:r>
          </w:p>
        </w:tc>
        <w:tc>
          <w:tcPr>
            <w:tcW w:w="1607" w:type="dxa"/>
            <w:tcBorders/>
          </w:tcPr>
          <w:p>
            <w:pPr>
              <w:pStyle w:val="Normal"/>
              <w:spacing w:lineRule="auto" w:line="276" w:before="0" w:after="0"/>
              <w:rPr/>
            </w:pPr>
            <w:r>
              <w:rPr>
                <w:rFonts w:ascii="Times New Roman" w:hAnsi="Times New Roman"/>
                <w:sz w:val="24"/>
              </w:rPr>
              <w:t>585 EUR</w:t>
            </w:r>
          </w:p>
        </w:tc>
        <w:tc>
          <w:tcPr>
            <w:tcW w:w="1606" w:type="dxa"/>
            <w:tcBorders/>
          </w:tcPr>
          <w:p>
            <w:pPr>
              <w:pStyle w:val="Normal"/>
              <w:spacing w:lineRule="auto" w:line="276" w:before="0" w:after="0"/>
              <w:rPr/>
            </w:pPr>
            <w:r>
              <w:rPr>
                <w:rFonts w:ascii="Times New Roman" w:hAnsi="Times New Roman"/>
                <w:sz w:val="24"/>
              </w:rPr>
              <w:t>90 EUR</w:t>
            </w:r>
          </w:p>
        </w:tc>
        <w:tc>
          <w:tcPr>
            <w:tcW w:w="1605" w:type="dxa"/>
            <w:tcBorders/>
          </w:tcPr>
          <w:p>
            <w:pPr>
              <w:pStyle w:val="Normal"/>
              <w:spacing w:lineRule="auto" w:line="276" w:before="0" w:after="0"/>
              <w:rPr/>
            </w:pPr>
            <w:r>
              <w:rPr>
                <w:rFonts w:ascii="Times New Roman" w:hAnsi="Times New Roman"/>
                <w:sz w:val="24"/>
              </w:rPr>
              <w:t>297 EUR</w:t>
            </w:r>
          </w:p>
        </w:tc>
        <w:tc>
          <w:tcPr>
            <w:tcW w:w="1607" w:type="dxa"/>
            <w:tcBorders/>
          </w:tcPr>
          <w:p>
            <w:pPr>
              <w:pStyle w:val="Normal"/>
              <w:spacing w:lineRule="auto" w:line="276" w:before="0" w:after="0"/>
              <w:rPr/>
            </w:pPr>
            <w:r>
              <w:rPr>
                <w:rFonts w:ascii="Times New Roman" w:hAnsi="Times New Roman"/>
                <w:sz w:val="24"/>
              </w:rPr>
              <w:t>198 EUR</w:t>
            </w:r>
          </w:p>
        </w:tc>
      </w:tr>
      <w:tr>
        <w:trPr/>
        <w:tc>
          <w:tcPr>
            <w:tcW w:w="1606" w:type="dxa"/>
            <w:tcBorders/>
          </w:tcPr>
          <w:p>
            <w:pPr>
              <w:pStyle w:val="Normal"/>
              <w:spacing w:lineRule="auto" w:line="276" w:before="0" w:after="0"/>
              <w:rPr/>
            </w:pPr>
            <w:r>
              <w:rPr>
                <w:rFonts w:ascii="Times New Roman" w:hAnsi="Times New Roman"/>
                <w:sz w:val="24"/>
              </w:rPr>
              <w:t>Septembre</w:t>
            </w:r>
          </w:p>
        </w:tc>
        <w:tc>
          <w:tcPr>
            <w:tcW w:w="1605" w:type="dxa"/>
            <w:tcBorders/>
          </w:tcPr>
          <w:p>
            <w:pPr>
              <w:pStyle w:val="Normal"/>
              <w:spacing w:lineRule="auto" w:line="276" w:before="0" w:after="0"/>
              <w:rPr/>
            </w:pPr>
            <w:r>
              <w:rPr>
                <w:rFonts w:ascii="Times New Roman" w:hAnsi="Times New Roman"/>
                <w:sz w:val="24"/>
              </w:rPr>
              <w:t>8</w:t>
            </w:r>
          </w:p>
        </w:tc>
        <w:tc>
          <w:tcPr>
            <w:tcW w:w="1607" w:type="dxa"/>
            <w:tcBorders/>
          </w:tcPr>
          <w:p>
            <w:pPr>
              <w:pStyle w:val="Normal"/>
              <w:spacing w:lineRule="auto" w:line="276" w:before="0" w:after="0"/>
              <w:rPr/>
            </w:pPr>
            <w:r>
              <w:rPr>
                <w:rFonts w:ascii="Times New Roman" w:hAnsi="Times New Roman"/>
                <w:sz w:val="24"/>
              </w:rPr>
              <w:t>520 EUR</w:t>
            </w:r>
          </w:p>
        </w:tc>
        <w:tc>
          <w:tcPr>
            <w:tcW w:w="1606" w:type="dxa"/>
            <w:tcBorders/>
          </w:tcPr>
          <w:p>
            <w:pPr>
              <w:pStyle w:val="Normal"/>
              <w:spacing w:lineRule="auto" w:line="276" w:before="0" w:after="0"/>
              <w:rPr/>
            </w:pPr>
            <w:r>
              <w:rPr>
                <w:rFonts w:ascii="Times New Roman" w:hAnsi="Times New Roman"/>
                <w:sz w:val="24"/>
              </w:rPr>
              <w:t>80 EUR</w:t>
            </w:r>
          </w:p>
        </w:tc>
        <w:tc>
          <w:tcPr>
            <w:tcW w:w="1605" w:type="dxa"/>
            <w:tcBorders/>
          </w:tcPr>
          <w:p>
            <w:pPr>
              <w:pStyle w:val="Normal"/>
              <w:spacing w:lineRule="auto" w:line="276" w:before="0" w:after="0"/>
              <w:rPr/>
            </w:pPr>
            <w:r>
              <w:rPr>
                <w:rFonts w:ascii="Times New Roman" w:hAnsi="Times New Roman"/>
                <w:sz w:val="24"/>
              </w:rPr>
              <w:t>297 EUR</w:t>
            </w:r>
          </w:p>
        </w:tc>
        <w:tc>
          <w:tcPr>
            <w:tcW w:w="1607" w:type="dxa"/>
            <w:tcBorders/>
          </w:tcPr>
          <w:p>
            <w:pPr>
              <w:pStyle w:val="Normal"/>
              <w:spacing w:lineRule="auto" w:line="276" w:before="0" w:after="0"/>
              <w:rPr/>
            </w:pPr>
            <w:r>
              <w:rPr>
                <w:rFonts w:ascii="Times New Roman" w:hAnsi="Times New Roman"/>
                <w:sz w:val="24"/>
              </w:rPr>
              <w:t>143 EUR</w:t>
            </w:r>
          </w:p>
        </w:tc>
      </w:tr>
      <w:tr>
        <w:trPr/>
        <w:tc>
          <w:tcPr>
            <w:tcW w:w="1606" w:type="dxa"/>
            <w:tcBorders/>
          </w:tcPr>
          <w:p>
            <w:pPr>
              <w:pStyle w:val="Normal"/>
              <w:spacing w:lineRule="auto" w:line="276" w:before="0" w:after="0"/>
              <w:rPr/>
            </w:pPr>
            <w:r>
              <w:rPr>
                <w:rFonts w:ascii="Times New Roman" w:hAnsi="Times New Roman"/>
                <w:sz w:val="24"/>
              </w:rPr>
              <w:t>Octobre</w:t>
            </w:r>
          </w:p>
        </w:tc>
        <w:tc>
          <w:tcPr>
            <w:tcW w:w="1605" w:type="dxa"/>
            <w:tcBorders/>
          </w:tcPr>
          <w:p>
            <w:pPr>
              <w:pStyle w:val="Normal"/>
              <w:spacing w:lineRule="auto" w:line="276" w:before="0" w:after="0"/>
              <w:rPr/>
            </w:pPr>
            <w:r>
              <w:rPr>
                <w:rFonts w:ascii="Times New Roman" w:hAnsi="Times New Roman"/>
                <w:sz w:val="24"/>
              </w:rPr>
              <w:t>7</w:t>
            </w:r>
          </w:p>
        </w:tc>
        <w:tc>
          <w:tcPr>
            <w:tcW w:w="1607" w:type="dxa"/>
            <w:tcBorders/>
          </w:tcPr>
          <w:p>
            <w:pPr>
              <w:pStyle w:val="Normal"/>
              <w:spacing w:lineRule="auto" w:line="276" w:before="0" w:after="0"/>
              <w:rPr/>
            </w:pPr>
            <w:r>
              <w:rPr>
                <w:rFonts w:ascii="Times New Roman" w:hAnsi="Times New Roman"/>
                <w:sz w:val="24"/>
              </w:rPr>
              <w:t>455 EUR</w:t>
            </w:r>
          </w:p>
        </w:tc>
        <w:tc>
          <w:tcPr>
            <w:tcW w:w="1606" w:type="dxa"/>
            <w:tcBorders/>
          </w:tcPr>
          <w:p>
            <w:pPr>
              <w:pStyle w:val="Normal"/>
              <w:spacing w:lineRule="auto" w:line="276" w:before="0" w:after="0"/>
              <w:rPr/>
            </w:pPr>
            <w:r>
              <w:rPr>
                <w:rFonts w:ascii="Times New Roman" w:hAnsi="Times New Roman"/>
                <w:sz w:val="24"/>
              </w:rPr>
              <w:t>70 EUR</w:t>
            </w:r>
          </w:p>
        </w:tc>
        <w:tc>
          <w:tcPr>
            <w:tcW w:w="1605" w:type="dxa"/>
            <w:tcBorders/>
          </w:tcPr>
          <w:p>
            <w:pPr>
              <w:pStyle w:val="Normal"/>
              <w:spacing w:lineRule="auto" w:line="276" w:before="0" w:after="0"/>
              <w:rPr/>
            </w:pPr>
            <w:r>
              <w:rPr>
                <w:rFonts w:ascii="Times New Roman" w:hAnsi="Times New Roman"/>
                <w:sz w:val="24"/>
              </w:rPr>
              <w:t>297 EUR</w:t>
            </w:r>
          </w:p>
        </w:tc>
        <w:tc>
          <w:tcPr>
            <w:tcW w:w="1607" w:type="dxa"/>
            <w:tcBorders/>
          </w:tcPr>
          <w:p>
            <w:pPr>
              <w:pStyle w:val="Normal"/>
              <w:spacing w:lineRule="auto" w:line="276" w:before="0" w:after="0"/>
              <w:rPr/>
            </w:pPr>
            <w:r>
              <w:rPr>
                <w:rFonts w:ascii="Times New Roman" w:hAnsi="Times New Roman"/>
                <w:sz w:val="24"/>
              </w:rPr>
              <w:t>88 EUR</w:t>
            </w:r>
          </w:p>
        </w:tc>
      </w:tr>
      <w:tr>
        <w:trPr/>
        <w:tc>
          <w:tcPr>
            <w:tcW w:w="1606" w:type="dxa"/>
            <w:tcBorders/>
          </w:tcPr>
          <w:p>
            <w:pPr>
              <w:pStyle w:val="Normal"/>
              <w:spacing w:lineRule="auto" w:line="276" w:before="0" w:after="0"/>
              <w:rPr/>
            </w:pPr>
            <w:r>
              <w:rPr>
                <w:rFonts w:ascii="Times New Roman" w:hAnsi="Times New Roman"/>
                <w:sz w:val="24"/>
              </w:rPr>
              <w:t>Novembre</w:t>
            </w:r>
          </w:p>
        </w:tc>
        <w:tc>
          <w:tcPr>
            <w:tcW w:w="1605" w:type="dxa"/>
            <w:tcBorders/>
          </w:tcPr>
          <w:p>
            <w:pPr>
              <w:pStyle w:val="Normal"/>
              <w:spacing w:lineRule="auto" w:line="276" w:before="0" w:after="0"/>
              <w:rPr/>
            </w:pPr>
            <w:r>
              <w:rPr>
                <w:rFonts w:ascii="Times New Roman" w:hAnsi="Times New Roman"/>
                <w:sz w:val="24"/>
              </w:rPr>
              <w:t>5</w:t>
            </w:r>
          </w:p>
        </w:tc>
        <w:tc>
          <w:tcPr>
            <w:tcW w:w="1607" w:type="dxa"/>
            <w:tcBorders/>
          </w:tcPr>
          <w:p>
            <w:pPr>
              <w:pStyle w:val="Normal"/>
              <w:spacing w:lineRule="auto" w:line="276" w:before="0" w:after="0"/>
              <w:rPr/>
            </w:pPr>
            <w:r>
              <w:rPr>
                <w:rFonts w:ascii="Times New Roman" w:hAnsi="Times New Roman"/>
                <w:sz w:val="24"/>
              </w:rPr>
              <w:t>325 EUR</w:t>
            </w:r>
          </w:p>
        </w:tc>
        <w:tc>
          <w:tcPr>
            <w:tcW w:w="1606" w:type="dxa"/>
            <w:tcBorders/>
          </w:tcPr>
          <w:p>
            <w:pPr>
              <w:pStyle w:val="Normal"/>
              <w:spacing w:lineRule="auto" w:line="276" w:before="0" w:after="0"/>
              <w:rPr/>
            </w:pPr>
            <w:r>
              <w:rPr>
                <w:rFonts w:ascii="Times New Roman" w:hAnsi="Times New Roman"/>
                <w:sz w:val="24"/>
              </w:rPr>
              <w:t>50 EUR</w:t>
            </w:r>
          </w:p>
        </w:tc>
        <w:tc>
          <w:tcPr>
            <w:tcW w:w="1605" w:type="dxa"/>
            <w:tcBorders/>
          </w:tcPr>
          <w:p>
            <w:pPr>
              <w:pStyle w:val="Normal"/>
              <w:spacing w:lineRule="auto" w:line="276" w:before="0" w:after="0"/>
              <w:rPr/>
            </w:pPr>
            <w:r>
              <w:rPr>
                <w:rFonts w:ascii="Times New Roman" w:hAnsi="Times New Roman"/>
                <w:sz w:val="24"/>
              </w:rPr>
              <w:t>297 EUR</w:t>
            </w:r>
          </w:p>
        </w:tc>
        <w:tc>
          <w:tcPr>
            <w:tcW w:w="1607" w:type="dxa"/>
            <w:tcBorders/>
          </w:tcPr>
          <w:p>
            <w:pPr>
              <w:pStyle w:val="Normal"/>
              <w:spacing w:lineRule="auto" w:line="276" w:before="0" w:after="0"/>
              <w:rPr/>
            </w:pPr>
            <w:r>
              <w:rPr>
                <w:rFonts w:ascii="Times New Roman" w:hAnsi="Times New Roman"/>
                <w:sz w:val="24"/>
              </w:rPr>
              <w:t>-22 EUR</w:t>
            </w:r>
          </w:p>
        </w:tc>
      </w:tr>
      <w:tr>
        <w:trPr/>
        <w:tc>
          <w:tcPr>
            <w:tcW w:w="1606" w:type="dxa"/>
            <w:tcBorders/>
          </w:tcPr>
          <w:p>
            <w:pPr>
              <w:pStyle w:val="Normal"/>
              <w:spacing w:lineRule="auto" w:line="276" w:before="0" w:after="0"/>
              <w:rPr/>
            </w:pPr>
            <w:r>
              <w:rPr>
                <w:rFonts w:ascii="Times New Roman" w:hAnsi="Times New Roman"/>
                <w:sz w:val="24"/>
              </w:rPr>
              <w:t>Décembre</w:t>
            </w:r>
          </w:p>
        </w:tc>
        <w:tc>
          <w:tcPr>
            <w:tcW w:w="1605" w:type="dxa"/>
            <w:tcBorders/>
          </w:tcPr>
          <w:p>
            <w:pPr>
              <w:pStyle w:val="Normal"/>
              <w:spacing w:lineRule="auto" w:line="276" w:before="0" w:after="0"/>
              <w:rPr/>
            </w:pPr>
            <w:r>
              <w:rPr>
                <w:rFonts w:ascii="Times New Roman" w:hAnsi="Times New Roman"/>
                <w:sz w:val="24"/>
              </w:rPr>
              <w:t>5</w:t>
            </w:r>
          </w:p>
        </w:tc>
        <w:tc>
          <w:tcPr>
            <w:tcW w:w="1607" w:type="dxa"/>
            <w:tcBorders/>
          </w:tcPr>
          <w:p>
            <w:pPr>
              <w:pStyle w:val="Normal"/>
              <w:spacing w:lineRule="auto" w:line="276" w:before="0" w:after="0"/>
              <w:rPr/>
            </w:pPr>
            <w:r>
              <w:rPr>
                <w:rFonts w:ascii="Times New Roman" w:hAnsi="Times New Roman"/>
                <w:sz w:val="24"/>
              </w:rPr>
              <w:t>325 EUR</w:t>
            </w:r>
          </w:p>
        </w:tc>
        <w:tc>
          <w:tcPr>
            <w:tcW w:w="1606" w:type="dxa"/>
            <w:tcBorders/>
          </w:tcPr>
          <w:p>
            <w:pPr>
              <w:pStyle w:val="Normal"/>
              <w:spacing w:lineRule="auto" w:line="276" w:before="0" w:after="0"/>
              <w:rPr/>
            </w:pPr>
            <w:r>
              <w:rPr>
                <w:rFonts w:ascii="Times New Roman" w:hAnsi="Times New Roman"/>
                <w:sz w:val="24"/>
              </w:rPr>
              <w:t>50 EUR</w:t>
            </w:r>
          </w:p>
        </w:tc>
        <w:tc>
          <w:tcPr>
            <w:tcW w:w="1605" w:type="dxa"/>
            <w:tcBorders/>
          </w:tcPr>
          <w:p>
            <w:pPr>
              <w:pStyle w:val="Normal"/>
              <w:spacing w:lineRule="auto" w:line="276" w:before="0" w:after="0"/>
              <w:rPr/>
            </w:pPr>
            <w:r>
              <w:rPr>
                <w:rFonts w:ascii="Times New Roman" w:hAnsi="Times New Roman"/>
                <w:sz w:val="24"/>
              </w:rPr>
              <w:t>297 EUR</w:t>
            </w:r>
          </w:p>
        </w:tc>
        <w:tc>
          <w:tcPr>
            <w:tcW w:w="1607" w:type="dxa"/>
            <w:tcBorders/>
          </w:tcPr>
          <w:p>
            <w:pPr>
              <w:pStyle w:val="Normal"/>
              <w:spacing w:lineRule="auto" w:line="276" w:before="0" w:after="0"/>
              <w:rPr/>
            </w:pPr>
            <w:r>
              <w:rPr>
                <w:rFonts w:ascii="Times New Roman" w:hAnsi="Times New Roman"/>
                <w:sz w:val="24"/>
              </w:rPr>
              <w:t>-22 EUR</w:t>
            </w:r>
          </w:p>
        </w:tc>
      </w:tr>
      <w:tr>
        <w:trPr/>
        <w:tc>
          <w:tcPr>
            <w:tcW w:w="1606" w:type="dxa"/>
            <w:tcBorders/>
          </w:tcPr>
          <w:p>
            <w:pPr>
              <w:pStyle w:val="Normal"/>
              <w:spacing w:lineRule="auto" w:line="276" w:before="0" w:after="0"/>
              <w:rPr/>
            </w:pPr>
            <w:r>
              <w:rPr>
                <w:rFonts w:ascii="Times New Roman" w:hAnsi="Times New Roman"/>
                <w:sz w:val="24"/>
              </w:rPr>
              <w:t>Total</w:t>
            </w:r>
          </w:p>
        </w:tc>
        <w:tc>
          <w:tcPr>
            <w:tcW w:w="1605" w:type="dxa"/>
            <w:tcBorders/>
          </w:tcPr>
          <w:p>
            <w:pPr>
              <w:pStyle w:val="Normal"/>
              <w:spacing w:lineRule="auto" w:line="276" w:before="0" w:after="0"/>
              <w:rPr/>
            </w:pPr>
            <w:r>
              <w:rPr>
                <w:rFonts w:ascii="Times New Roman" w:hAnsi="Times New Roman"/>
                <w:sz w:val="24"/>
              </w:rPr>
              <w:t>72</w:t>
            </w:r>
          </w:p>
        </w:tc>
        <w:tc>
          <w:tcPr>
            <w:tcW w:w="1607" w:type="dxa"/>
            <w:tcBorders/>
          </w:tcPr>
          <w:p>
            <w:pPr>
              <w:pStyle w:val="Normal"/>
              <w:spacing w:lineRule="auto" w:line="276" w:before="0" w:after="0"/>
              <w:rPr/>
            </w:pPr>
            <w:r>
              <w:rPr>
                <w:rFonts w:ascii="Times New Roman" w:hAnsi="Times New Roman"/>
                <w:sz w:val="24"/>
              </w:rPr>
              <w:t>4 680 EUR</w:t>
            </w:r>
          </w:p>
        </w:tc>
        <w:tc>
          <w:tcPr>
            <w:tcW w:w="1606" w:type="dxa"/>
            <w:tcBorders/>
          </w:tcPr>
          <w:p>
            <w:pPr>
              <w:pStyle w:val="Normal"/>
              <w:spacing w:lineRule="auto" w:line="276" w:before="0" w:after="0"/>
              <w:rPr/>
            </w:pPr>
            <w:r>
              <w:rPr>
                <w:rFonts w:ascii="Times New Roman" w:hAnsi="Times New Roman"/>
                <w:sz w:val="24"/>
              </w:rPr>
              <w:t>720 EUR</w:t>
            </w:r>
          </w:p>
        </w:tc>
        <w:tc>
          <w:tcPr>
            <w:tcW w:w="1605" w:type="dxa"/>
            <w:tcBorders/>
          </w:tcPr>
          <w:p>
            <w:pPr>
              <w:pStyle w:val="Normal"/>
              <w:spacing w:lineRule="auto" w:line="276" w:before="0" w:after="0"/>
              <w:rPr/>
            </w:pPr>
            <w:r>
              <w:rPr>
                <w:rFonts w:ascii="Times New Roman" w:hAnsi="Times New Roman"/>
                <w:sz w:val="24"/>
              </w:rPr>
              <w:t>9 164 EUR</w:t>
            </w:r>
          </w:p>
        </w:tc>
        <w:tc>
          <w:tcPr>
            <w:tcW w:w="1607" w:type="dxa"/>
            <w:tcBorders/>
          </w:tcPr>
          <w:p>
            <w:pPr>
              <w:pStyle w:val="Normal"/>
              <w:spacing w:lineRule="auto" w:line="276" w:before="0" w:after="0"/>
              <w:rPr/>
            </w:pPr>
            <w:r>
              <w:rPr>
                <w:rFonts w:ascii="Times New Roman" w:hAnsi="Times New Roman"/>
                <w:sz w:val="24"/>
              </w:rPr>
              <w:t>-5 204 EUR</w:t>
            </w:r>
          </w:p>
        </w:tc>
      </w:tr>
    </w:tbl>
    <w:p>
      <w:pPr>
        <w:pStyle w:val="Normal"/>
        <w:rPr/>
      </w:pPr>
      <w:r>
        <w:rPr/>
      </w:r>
    </w:p>
    <w:p>
      <w:pPr>
        <w:pStyle w:val="Normal"/>
        <w:spacing w:lineRule="auto" w:line="276" w:before="0" w:after="120"/>
        <w:rPr/>
      </w:pPr>
      <w:r>
        <w:rPr>
          <w:rFonts w:ascii="Times New Roman" w:hAnsi="Times New Roman"/>
          <w:sz w:val="24"/>
        </w:rPr>
        <w:t>Le besoin maximal de trésorerie apparaît au début du projet, avant la montée des réservations. Il serait prudent de prévoir au minimum 6 000 EUR de financement initial, complété par une réserve de sécurité. La trésorerie peut provenir d'un apport personnel, d'un financement étudiant, d'une aide à l'entrepreneuriat ou d'un prêt adapté au projet.</w:t>
      </w:r>
    </w:p>
    <w:p>
      <w:pPr>
        <w:pStyle w:val="Heading2"/>
        <w:spacing w:lineRule="auto" w:line="276" w:before="160" w:after="120"/>
        <w:rPr/>
      </w:pPr>
      <w:r>
        <w:rPr>
          <w:rFonts w:ascii="Times New Roman" w:hAnsi="Times New Roman"/>
          <w:b/>
          <w:sz w:val="24"/>
        </w:rPr>
        <w:t>6.6 Scénarios financiers</w:t>
      </w:r>
    </w:p>
    <w:p>
      <w:pPr>
        <w:pStyle w:val="Normal"/>
        <w:spacing w:lineRule="auto" w:line="276" w:before="0" w:after="120"/>
        <w:rPr/>
      </w:pPr>
      <w:r>
        <w:rPr>
          <w:rFonts w:ascii="Times New Roman" w:hAnsi="Times New Roman"/>
          <w:sz w:val="24"/>
        </w:rPr>
        <w:t>Pour éviter de dépendre d'une seule hypothèse, j'ai comparé trois scénarios. Le résultat récurrent exclut le coût de développement initial ; le résultat de l'année 1 l'inclut.</w:t>
      </w:r>
    </w:p>
    <w:tbl>
      <w:tblPr>
        <w:tblW w:w="9640" w:type="dxa"/>
        <w:jc w:val="start"/>
        <w:tblInd w:w="0" w:type="dxa"/>
        <w:tblLayout w:type="fixed"/>
        <w:tblCellMar>
          <w:top w:w="100" w:type="dxa"/>
          <w:start w:w="100" w:type="dxa"/>
          <w:bottom w:w="100" w:type="dxa"/>
          <w:end w:w="100" w:type="dxa"/>
        </w:tblCellMar>
        <w:tblLook w:val="04a0" w:firstRow="1" w:noVBand="1" w:lastRow="0" w:firstColumn="1" w:lastColumn="0" w:noHBand="0"/>
      </w:tblPr>
      <w:tblGrid>
        <w:gridCol w:w="1928"/>
        <w:gridCol w:w="1928"/>
        <w:gridCol w:w="1928"/>
        <w:gridCol w:w="1928"/>
        <w:gridCol w:w="1928"/>
      </w:tblGrid>
      <w:tr>
        <w:trPr/>
        <w:tc>
          <w:tcPr>
            <w:tcW w:w="1928" w:type="dxa"/>
            <w:tcBorders/>
          </w:tcPr>
          <w:p>
            <w:pPr>
              <w:pStyle w:val="Normal"/>
              <w:spacing w:lineRule="auto" w:line="276" w:before="0" w:after="0"/>
              <w:rPr/>
            </w:pPr>
            <w:r>
              <w:rPr>
                <w:rFonts w:ascii="Times New Roman" w:hAnsi="Times New Roman"/>
                <w:b/>
                <w:sz w:val="24"/>
              </w:rPr>
              <w:t>Scénario</w:t>
            </w:r>
          </w:p>
        </w:tc>
        <w:tc>
          <w:tcPr>
            <w:tcW w:w="1928" w:type="dxa"/>
            <w:tcBorders/>
          </w:tcPr>
          <w:p>
            <w:pPr>
              <w:pStyle w:val="Normal"/>
              <w:spacing w:lineRule="auto" w:line="276" w:before="0" w:after="0"/>
              <w:rPr/>
            </w:pPr>
            <w:r>
              <w:rPr>
                <w:rFonts w:ascii="Times New Roman" w:hAnsi="Times New Roman"/>
                <w:b/>
                <w:sz w:val="24"/>
              </w:rPr>
              <w:t>Réservations</w:t>
            </w:r>
          </w:p>
        </w:tc>
        <w:tc>
          <w:tcPr>
            <w:tcW w:w="1928" w:type="dxa"/>
            <w:tcBorders/>
          </w:tcPr>
          <w:p>
            <w:pPr>
              <w:pStyle w:val="Normal"/>
              <w:spacing w:lineRule="auto" w:line="276" w:before="0" w:after="0"/>
              <w:rPr/>
            </w:pPr>
            <w:r>
              <w:rPr>
                <w:rFonts w:ascii="Times New Roman" w:hAnsi="Times New Roman"/>
                <w:b/>
                <w:sz w:val="24"/>
              </w:rPr>
              <w:t>Commissions</w:t>
            </w:r>
          </w:p>
        </w:tc>
        <w:tc>
          <w:tcPr>
            <w:tcW w:w="1928" w:type="dxa"/>
            <w:tcBorders/>
          </w:tcPr>
          <w:p>
            <w:pPr>
              <w:pStyle w:val="Normal"/>
              <w:spacing w:lineRule="auto" w:line="276" w:before="0" w:after="0"/>
              <w:rPr/>
            </w:pPr>
            <w:r>
              <w:rPr>
                <w:rFonts w:ascii="Times New Roman" w:hAnsi="Times New Roman"/>
                <w:b/>
                <w:sz w:val="24"/>
              </w:rPr>
              <w:t>Résultat récurrent</w:t>
            </w:r>
          </w:p>
        </w:tc>
        <w:tc>
          <w:tcPr>
            <w:tcW w:w="1928" w:type="dxa"/>
            <w:tcBorders/>
          </w:tcPr>
          <w:p>
            <w:pPr>
              <w:pStyle w:val="Normal"/>
              <w:spacing w:lineRule="auto" w:line="276" w:before="0" w:after="0"/>
              <w:rPr/>
            </w:pPr>
            <w:r>
              <w:rPr>
                <w:rFonts w:ascii="Times New Roman" w:hAnsi="Times New Roman"/>
                <w:b/>
                <w:sz w:val="24"/>
              </w:rPr>
              <w:t>Résultat année 1</w:t>
            </w:r>
          </w:p>
        </w:tc>
      </w:tr>
      <w:tr>
        <w:trPr/>
        <w:tc>
          <w:tcPr>
            <w:tcW w:w="1928" w:type="dxa"/>
            <w:tcBorders/>
          </w:tcPr>
          <w:p>
            <w:pPr>
              <w:pStyle w:val="Normal"/>
              <w:spacing w:lineRule="auto" w:line="276" w:before="0" w:after="0"/>
              <w:rPr/>
            </w:pPr>
            <w:r>
              <w:rPr>
                <w:rFonts w:ascii="Times New Roman" w:hAnsi="Times New Roman"/>
                <w:sz w:val="24"/>
              </w:rPr>
              <w:t>Prudent</w:t>
            </w:r>
          </w:p>
        </w:tc>
        <w:tc>
          <w:tcPr>
            <w:tcW w:w="1928" w:type="dxa"/>
            <w:tcBorders/>
          </w:tcPr>
          <w:p>
            <w:pPr>
              <w:pStyle w:val="Normal"/>
              <w:spacing w:lineRule="auto" w:line="276" w:before="0" w:after="0"/>
              <w:rPr/>
            </w:pPr>
            <w:r>
              <w:rPr>
                <w:rFonts w:ascii="Times New Roman" w:hAnsi="Times New Roman"/>
                <w:sz w:val="24"/>
              </w:rPr>
              <w:t>48</w:t>
            </w:r>
          </w:p>
        </w:tc>
        <w:tc>
          <w:tcPr>
            <w:tcW w:w="1928" w:type="dxa"/>
            <w:tcBorders/>
          </w:tcPr>
          <w:p>
            <w:pPr>
              <w:pStyle w:val="Normal"/>
              <w:spacing w:lineRule="auto" w:line="276" w:before="0" w:after="0"/>
              <w:rPr/>
            </w:pPr>
            <w:r>
              <w:rPr>
                <w:rFonts w:ascii="Times New Roman" w:hAnsi="Times New Roman"/>
                <w:sz w:val="24"/>
              </w:rPr>
              <w:t>3 120 EUR</w:t>
            </w:r>
          </w:p>
        </w:tc>
        <w:tc>
          <w:tcPr>
            <w:tcW w:w="1928" w:type="dxa"/>
            <w:tcBorders/>
          </w:tcPr>
          <w:p>
            <w:pPr>
              <w:pStyle w:val="Normal"/>
              <w:spacing w:lineRule="auto" w:line="276" w:before="0" w:after="0"/>
              <w:rPr/>
            </w:pPr>
            <w:r>
              <w:rPr>
                <w:rFonts w:ascii="Times New Roman" w:hAnsi="Times New Roman"/>
                <w:sz w:val="24"/>
              </w:rPr>
              <w:t>-925 EUR</w:t>
            </w:r>
          </w:p>
        </w:tc>
        <w:tc>
          <w:tcPr>
            <w:tcW w:w="1928" w:type="dxa"/>
            <w:tcBorders/>
          </w:tcPr>
          <w:p>
            <w:pPr>
              <w:pStyle w:val="Normal"/>
              <w:spacing w:lineRule="auto" w:line="276" w:before="0" w:after="0"/>
              <w:rPr/>
            </w:pPr>
            <w:r>
              <w:rPr>
                <w:rFonts w:ascii="Times New Roman" w:hAnsi="Times New Roman"/>
                <w:sz w:val="24"/>
              </w:rPr>
              <w:t>-6 525 EUR</w:t>
            </w:r>
          </w:p>
        </w:tc>
      </w:tr>
      <w:tr>
        <w:trPr/>
        <w:tc>
          <w:tcPr>
            <w:tcW w:w="1928" w:type="dxa"/>
            <w:tcBorders/>
          </w:tcPr>
          <w:p>
            <w:pPr>
              <w:pStyle w:val="Normal"/>
              <w:spacing w:lineRule="auto" w:line="276" w:before="0" w:after="0"/>
              <w:rPr/>
            </w:pPr>
            <w:r>
              <w:rPr>
                <w:rFonts w:ascii="Times New Roman" w:hAnsi="Times New Roman"/>
                <w:sz w:val="24"/>
              </w:rPr>
              <w:t>Réaliste</w:t>
            </w:r>
          </w:p>
        </w:tc>
        <w:tc>
          <w:tcPr>
            <w:tcW w:w="1928" w:type="dxa"/>
            <w:tcBorders/>
          </w:tcPr>
          <w:p>
            <w:pPr>
              <w:pStyle w:val="Normal"/>
              <w:spacing w:lineRule="auto" w:line="276" w:before="0" w:after="0"/>
              <w:rPr/>
            </w:pPr>
            <w:r>
              <w:rPr>
                <w:rFonts w:ascii="Times New Roman" w:hAnsi="Times New Roman"/>
                <w:sz w:val="24"/>
              </w:rPr>
              <w:t>72</w:t>
            </w:r>
          </w:p>
        </w:tc>
        <w:tc>
          <w:tcPr>
            <w:tcW w:w="1928" w:type="dxa"/>
            <w:tcBorders/>
          </w:tcPr>
          <w:p>
            <w:pPr>
              <w:pStyle w:val="Normal"/>
              <w:spacing w:lineRule="auto" w:line="276" w:before="0" w:after="0"/>
              <w:rPr/>
            </w:pPr>
            <w:r>
              <w:rPr>
                <w:rFonts w:ascii="Times New Roman" w:hAnsi="Times New Roman"/>
                <w:sz w:val="24"/>
              </w:rPr>
              <w:t>4 680 EUR</w:t>
            </w:r>
          </w:p>
        </w:tc>
        <w:tc>
          <w:tcPr>
            <w:tcW w:w="1928" w:type="dxa"/>
            <w:tcBorders/>
          </w:tcPr>
          <w:p>
            <w:pPr>
              <w:pStyle w:val="Normal"/>
              <w:spacing w:lineRule="auto" w:line="276" w:before="0" w:after="0"/>
              <w:rPr/>
            </w:pPr>
            <w:r>
              <w:rPr>
                <w:rFonts w:ascii="Times New Roman" w:hAnsi="Times New Roman"/>
                <w:sz w:val="24"/>
              </w:rPr>
              <w:t>395 EUR</w:t>
            </w:r>
          </w:p>
        </w:tc>
        <w:tc>
          <w:tcPr>
            <w:tcW w:w="1928" w:type="dxa"/>
            <w:tcBorders/>
          </w:tcPr>
          <w:p>
            <w:pPr>
              <w:pStyle w:val="Normal"/>
              <w:spacing w:lineRule="auto" w:line="276" w:before="0" w:after="0"/>
              <w:rPr/>
            </w:pPr>
            <w:r>
              <w:rPr>
                <w:rFonts w:ascii="Times New Roman" w:hAnsi="Times New Roman"/>
                <w:sz w:val="24"/>
              </w:rPr>
              <w:t>-5 205 EUR</w:t>
            </w:r>
          </w:p>
        </w:tc>
      </w:tr>
      <w:tr>
        <w:trPr/>
        <w:tc>
          <w:tcPr>
            <w:tcW w:w="1928" w:type="dxa"/>
            <w:tcBorders/>
          </w:tcPr>
          <w:p>
            <w:pPr>
              <w:pStyle w:val="Normal"/>
              <w:spacing w:lineRule="auto" w:line="276" w:before="0" w:after="0"/>
              <w:rPr/>
            </w:pPr>
            <w:r>
              <w:rPr>
                <w:rFonts w:ascii="Times New Roman" w:hAnsi="Times New Roman"/>
                <w:sz w:val="24"/>
              </w:rPr>
              <w:t>Ambitieux</w:t>
            </w:r>
          </w:p>
        </w:tc>
        <w:tc>
          <w:tcPr>
            <w:tcW w:w="1928" w:type="dxa"/>
            <w:tcBorders/>
          </w:tcPr>
          <w:p>
            <w:pPr>
              <w:pStyle w:val="Normal"/>
              <w:spacing w:lineRule="auto" w:line="276" w:before="0" w:after="0"/>
              <w:rPr/>
            </w:pPr>
            <w:r>
              <w:rPr>
                <w:rFonts w:ascii="Times New Roman" w:hAnsi="Times New Roman"/>
                <w:sz w:val="24"/>
              </w:rPr>
              <w:t>120</w:t>
            </w:r>
          </w:p>
        </w:tc>
        <w:tc>
          <w:tcPr>
            <w:tcW w:w="1928" w:type="dxa"/>
            <w:tcBorders/>
          </w:tcPr>
          <w:p>
            <w:pPr>
              <w:pStyle w:val="Normal"/>
              <w:spacing w:lineRule="auto" w:line="276" w:before="0" w:after="0"/>
              <w:rPr/>
            </w:pPr>
            <w:r>
              <w:rPr>
                <w:rFonts w:ascii="Times New Roman" w:hAnsi="Times New Roman"/>
                <w:sz w:val="24"/>
              </w:rPr>
              <w:t>7 800 EUR</w:t>
            </w:r>
          </w:p>
        </w:tc>
        <w:tc>
          <w:tcPr>
            <w:tcW w:w="1928" w:type="dxa"/>
            <w:tcBorders/>
          </w:tcPr>
          <w:p>
            <w:pPr>
              <w:pStyle w:val="Normal"/>
              <w:spacing w:lineRule="auto" w:line="276" w:before="0" w:after="0"/>
              <w:rPr/>
            </w:pPr>
            <w:r>
              <w:rPr>
                <w:rFonts w:ascii="Times New Roman" w:hAnsi="Times New Roman"/>
                <w:sz w:val="24"/>
              </w:rPr>
              <w:t>2 400 EUR</w:t>
            </w:r>
          </w:p>
        </w:tc>
        <w:tc>
          <w:tcPr>
            <w:tcW w:w="1928" w:type="dxa"/>
            <w:tcBorders/>
          </w:tcPr>
          <w:p>
            <w:pPr>
              <w:pStyle w:val="Normal"/>
              <w:spacing w:lineRule="auto" w:line="276" w:before="0" w:after="0"/>
              <w:rPr/>
            </w:pPr>
            <w:r>
              <w:rPr>
                <w:rFonts w:ascii="Times New Roman" w:hAnsi="Times New Roman"/>
                <w:sz w:val="24"/>
              </w:rPr>
              <w:t>-3 200 EUR</w:t>
            </w:r>
          </w:p>
        </w:tc>
      </w:tr>
    </w:tbl>
    <w:p>
      <w:pPr>
        <w:pStyle w:val="Normal"/>
        <w:rPr/>
      </w:pPr>
      <w:r>
        <w:rPr/>
      </w:r>
    </w:p>
    <w:p>
      <w:pPr>
        <w:pStyle w:val="Normal"/>
        <w:spacing w:lineRule="auto" w:line="276" w:before="0" w:after="120"/>
        <w:rPr/>
      </w:pPr>
      <w:r>
        <w:rPr>
          <w:rFonts w:ascii="Times New Roman" w:hAnsi="Times New Roman"/>
          <w:sz w:val="24"/>
        </w:rPr>
        <w:t>Le seuil opérationnel se situe autour de 65 réservations par an. En intégrant entièrement le coût initial de développement, le seuil de remboursement se rapproche de 167 réservations. Cette distinction explique pourquoi l'activité peut devenir opérationnellement rentable avant d'avoir remboursé l'investissement de départ.</w:t>
      </w:r>
    </w:p>
    <w:p>
      <w:pPr>
        <w:pStyle w:val="Heading1"/>
        <w:spacing w:lineRule="auto" w:line="276" w:before="240" w:after="120"/>
        <w:rPr/>
      </w:pPr>
      <w:r>
        <w:rPr>
          <w:rFonts w:ascii="Times New Roman" w:hAnsi="Times New Roman"/>
          <w:b/>
          <w:sz w:val="24"/>
        </w:rPr>
        <w:t>7. Analyse SWOT</w:t>
      </w:r>
    </w:p>
    <w:tbl>
      <w:tblPr>
        <w:tblW w:w="9636" w:type="dxa"/>
        <w:jc w:val="start"/>
        <w:tblInd w:w="0" w:type="dxa"/>
        <w:tblLayout w:type="fixed"/>
        <w:tblCellMar>
          <w:top w:w="100" w:type="dxa"/>
          <w:start w:w="100" w:type="dxa"/>
          <w:bottom w:w="100" w:type="dxa"/>
          <w:end w:w="100" w:type="dxa"/>
        </w:tblCellMar>
        <w:tblLook w:val="04a0" w:firstRow="1" w:noVBand="1" w:lastRow="0" w:firstColumn="1" w:lastColumn="0" w:noHBand="0"/>
      </w:tblPr>
      <w:tblGrid>
        <w:gridCol w:w="2409"/>
        <w:gridCol w:w="2409"/>
        <w:gridCol w:w="2409"/>
        <w:gridCol w:w="2409"/>
      </w:tblGrid>
      <w:tr>
        <w:trPr/>
        <w:tc>
          <w:tcPr>
            <w:tcW w:w="2409" w:type="dxa"/>
            <w:tcBorders/>
          </w:tcPr>
          <w:p>
            <w:pPr>
              <w:pStyle w:val="Normal"/>
              <w:spacing w:lineRule="auto" w:line="276" w:before="0" w:after="0"/>
              <w:rPr/>
            </w:pPr>
            <w:r>
              <w:rPr>
                <w:rFonts w:ascii="Times New Roman" w:hAnsi="Times New Roman"/>
                <w:b/>
                <w:sz w:val="24"/>
              </w:rPr>
              <w:t>Forces</w:t>
            </w:r>
          </w:p>
        </w:tc>
        <w:tc>
          <w:tcPr>
            <w:tcW w:w="2409" w:type="dxa"/>
            <w:tcBorders/>
          </w:tcPr>
          <w:p>
            <w:pPr>
              <w:pStyle w:val="Normal"/>
              <w:spacing w:lineRule="auto" w:line="276" w:before="0" w:after="0"/>
              <w:rPr/>
            </w:pPr>
            <w:r>
              <w:rPr>
                <w:rFonts w:ascii="Times New Roman" w:hAnsi="Times New Roman"/>
                <w:b/>
                <w:sz w:val="24"/>
              </w:rPr>
              <w:t>Faiblesses</w:t>
            </w:r>
          </w:p>
        </w:tc>
        <w:tc>
          <w:tcPr>
            <w:tcW w:w="2409" w:type="dxa"/>
            <w:tcBorders/>
          </w:tcPr>
          <w:p>
            <w:pPr>
              <w:pStyle w:val="Normal"/>
              <w:spacing w:lineRule="auto" w:line="276" w:before="0" w:after="0"/>
              <w:rPr/>
            </w:pPr>
            <w:r>
              <w:rPr>
                <w:rFonts w:ascii="Times New Roman" w:hAnsi="Times New Roman"/>
                <w:b/>
                <w:sz w:val="24"/>
              </w:rPr>
              <w:t>Opportunités</w:t>
            </w:r>
          </w:p>
        </w:tc>
        <w:tc>
          <w:tcPr>
            <w:tcW w:w="2409" w:type="dxa"/>
            <w:tcBorders/>
          </w:tcPr>
          <w:p>
            <w:pPr>
              <w:pStyle w:val="Normal"/>
              <w:spacing w:lineRule="auto" w:line="276" w:before="0" w:after="0"/>
              <w:rPr/>
            </w:pPr>
            <w:r>
              <w:rPr>
                <w:rFonts w:ascii="Times New Roman" w:hAnsi="Times New Roman"/>
                <w:b/>
                <w:sz w:val="24"/>
              </w:rPr>
              <w:t>Menaces</w:t>
            </w:r>
          </w:p>
        </w:tc>
      </w:tr>
      <w:tr>
        <w:trPr/>
        <w:tc>
          <w:tcPr>
            <w:tcW w:w="2409" w:type="dxa"/>
            <w:tcBorders/>
          </w:tcPr>
          <w:p>
            <w:pPr>
              <w:pStyle w:val="Normal"/>
              <w:spacing w:lineRule="auto" w:line="276" w:before="0" w:after="0"/>
              <w:rPr/>
            </w:pPr>
            <w:r>
              <w:rPr>
                <w:rFonts w:ascii="Times New Roman" w:hAnsi="Times New Roman"/>
                <w:sz w:val="24"/>
              </w:rPr>
              <w:t>Parcours métier complet ; traçabilité ; paiement et documents intégrés.</w:t>
            </w:r>
          </w:p>
        </w:tc>
        <w:tc>
          <w:tcPr>
            <w:tcW w:w="2409" w:type="dxa"/>
            <w:tcBorders/>
          </w:tcPr>
          <w:p>
            <w:pPr>
              <w:pStyle w:val="Normal"/>
              <w:spacing w:lineRule="auto" w:line="276" w:before="0" w:after="0"/>
              <w:rPr/>
            </w:pPr>
            <w:r>
              <w:rPr>
                <w:rFonts w:ascii="Times New Roman" w:hAnsi="Times New Roman"/>
                <w:sz w:val="24"/>
              </w:rPr>
              <w:t>MVP récent ; notoriété faible ; dépendance à la qualité des données DJ.</w:t>
            </w:r>
          </w:p>
        </w:tc>
        <w:tc>
          <w:tcPr>
            <w:tcW w:w="2409" w:type="dxa"/>
            <w:tcBorders/>
          </w:tcPr>
          <w:p>
            <w:pPr>
              <w:pStyle w:val="Normal"/>
              <w:spacing w:lineRule="auto" w:line="276" w:before="0" w:after="0"/>
              <w:rPr/>
            </w:pPr>
            <w:r>
              <w:rPr>
                <w:rFonts w:ascii="Times New Roman" w:hAnsi="Times New Roman"/>
                <w:sz w:val="24"/>
              </w:rPr>
              <w:t>Digitalisation des prestations ; partenariats avec DJs et lieux ; extension progressive.</w:t>
            </w:r>
          </w:p>
        </w:tc>
        <w:tc>
          <w:tcPr>
            <w:tcW w:w="2409" w:type="dxa"/>
            <w:tcBorders/>
          </w:tcPr>
          <w:p>
            <w:pPr>
              <w:pStyle w:val="Normal"/>
              <w:spacing w:lineRule="auto" w:line="276" w:before="0" w:after="0"/>
              <w:rPr/>
            </w:pPr>
            <w:r>
              <w:rPr>
                <w:rFonts w:ascii="Times New Roman" w:hAnsi="Times New Roman"/>
                <w:sz w:val="24"/>
              </w:rPr>
              <w:t>Concurrence ; saisonnalité ; litiges ; coûts d’acquisition et exigences réglementaires.</w:t>
            </w:r>
          </w:p>
        </w:tc>
      </w:tr>
    </w:tbl>
    <w:p>
      <w:pPr>
        <w:pStyle w:val="Normal"/>
        <w:rPr/>
      </w:pPr>
      <w:r>
        <w:rPr/>
      </w:r>
    </w:p>
    <w:p>
      <w:pPr>
        <w:pStyle w:val="Heading1"/>
        <w:spacing w:lineRule="auto" w:line="276" w:before="240" w:after="120"/>
        <w:rPr/>
      </w:pPr>
      <w:r>
        <w:rPr>
          <w:rFonts w:ascii="Times New Roman" w:hAnsi="Times New Roman"/>
          <w:b/>
          <w:sz w:val="24"/>
        </w:rPr>
        <w:t>8. Stratégie commerciale et marketing</w:t>
      </w:r>
    </w:p>
    <w:p>
      <w:pPr>
        <w:pStyle w:val="Normal"/>
        <w:spacing w:lineRule="auto" w:line="276" w:before="0" w:after="120"/>
        <w:rPr/>
      </w:pPr>
      <w:r>
        <w:rPr>
          <w:rFonts w:ascii="Times New Roman" w:hAnsi="Times New Roman"/>
          <w:sz w:val="24"/>
        </w:rPr>
        <w:t>Le positionnement est celui d’un outil spécialisé, fiable et simple pour organiser une prestation DJ privée. La priorité n’est pas de rivaliser immédiatement avec les grands annuaires, mais de prouver la qualité du parcours et de construire une offre locale crédible.</w:t>
      </w:r>
    </w:p>
    <w:p>
      <w:pPr>
        <w:pStyle w:val="Normal"/>
        <w:spacing w:lineRule="auto" w:line="276" w:before="0" w:after="120"/>
        <w:ind w:hanging="240" w:start="360"/>
        <w:rPr/>
      </w:pPr>
      <w:r>
        <w:rPr>
          <w:rFonts w:ascii="Times New Roman" w:hAnsi="Times New Roman"/>
          <w:sz w:val="24"/>
        </w:rPr>
        <w:t xml:space="preserve">• </w:t>
      </w:r>
      <w:r>
        <w:rPr>
          <w:rFonts w:ascii="Times New Roman" w:hAnsi="Times New Roman"/>
          <w:sz w:val="24"/>
        </w:rPr>
        <w:t>Recruter progressivement des DJs vérifiés dans les principales villes belges.</w:t>
      </w:r>
    </w:p>
    <w:p>
      <w:pPr>
        <w:pStyle w:val="Normal"/>
        <w:spacing w:lineRule="auto" w:line="276" w:before="0" w:after="120"/>
        <w:ind w:hanging="240" w:start="360"/>
        <w:rPr/>
      </w:pPr>
      <w:r>
        <w:rPr>
          <w:rFonts w:ascii="Times New Roman" w:hAnsi="Times New Roman"/>
          <w:sz w:val="24"/>
        </w:rPr>
        <w:t xml:space="preserve">• </w:t>
      </w:r>
      <w:r>
        <w:rPr>
          <w:rFonts w:ascii="Times New Roman" w:hAnsi="Times New Roman"/>
          <w:sz w:val="24"/>
        </w:rPr>
        <w:t>Créer du contenu local autour des mariages, anniversaires et soirées privées.</w:t>
      </w:r>
    </w:p>
    <w:p>
      <w:pPr>
        <w:pStyle w:val="Normal"/>
        <w:spacing w:lineRule="auto" w:line="276" w:before="0" w:after="120"/>
        <w:ind w:hanging="240" w:start="360"/>
        <w:rPr/>
      </w:pPr>
      <w:r>
        <w:rPr>
          <w:rFonts w:ascii="Times New Roman" w:hAnsi="Times New Roman"/>
          <w:sz w:val="24"/>
        </w:rPr>
        <w:t xml:space="preserve">• </w:t>
      </w:r>
      <w:r>
        <w:rPr>
          <w:rFonts w:ascii="Times New Roman" w:hAnsi="Times New Roman"/>
          <w:sz w:val="24"/>
        </w:rPr>
        <w:t>Mesurer les demandes, le taux de conversion devis-réservation, le panier moyen et les avis clients.</w:t>
      </w:r>
    </w:p>
    <w:p>
      <w:pPr>
        <w:pStyle w:val="Normal"/>
        <w:spacing w:lineRule="auto" w:line="276" w:before="0" w:after="120"/>
        <w:ind w:hanging="240" w:start="360"/>
        <w:rPr/>
      </w:pPr>
      <w:r>
        <w:rPr>
          <w:rFonts w:ascii="Times New Roman" w:hAnsi="Times New Roman"/>
          <w:sz w:val="24"/>
        </w:rPr>
        <w:t xml:space="preserve">• </w:t>
      </w:r>
      <w:r>
        <w:rPr>
          <w:rFonts w:ascii="Times New Roman" w:hAnsi="Times New Roman"/>
          <w:sz w:val="24"/>
        </w:rPr>
        <w:t>Développer des partenariats avec salles, photographes, traiteurs et organisateurs locaux.</w:t>
      </w:r>
    </w:p>
    <w:p>
      <w:pPr>
        <w:pStyle w:val="Heading2"/>
        <w:spacing w:lineRule="auto" w:line="276" w:before="160" w:after="120"/>
        <w:rPr/>
      </w:pPr>
      <w:r>
        <w:rPr>
          <w:rFonts w:ascii="Times New Roman" w:hAnsi="Times New Roman"/>
          <w:b/>
          <w:sz w:val="24"/>
        </w:rPr>
        <w:t>8.1 Plan de lancement sur douze mois</w:t>
      </w:r>
    </w:p>
    <w:tbl>
      <w:tblPr>
        <w:tblW w:w="9639" w:type="dxa"/>
        <w:jc w:val="start"/>
        <w:tblInd w:w="0" w:type="dxa"/>
        <w:tblLayout w:type="fixed"/>
        <w:tblCellMar>
          <w:top w:w="100" w:type="dxa"/>
          <w:start w:w="100" w:type="dxa"/>
          <w:bottom w:w="100" w:type="dxa"/>
          <w:end w:w="100" w:type="dxa"/>
        </w:tblCellMar>
        <w:tblLook w:val="04a0" w:firstRow="1" w:noVBand="1" w:lastRow="0" w:firstColumn="1" w:lastColumn="0" w:noHBand="0"/>
      </w:tblPr>
      <w:tblGrid>
        <w:gridCol w:w="3213"/>
        <w:gridCol w:w="3213"/>
        <w:gridCol w:w="3213"/>
      </w:tblGrid>
      <w:tr>
        <w:trPr/>
        <w:tc>
          <w:tcPr>
            <w:tcW w:w="3213" w:type="dxa"/>
            <w:tcBorders/>
          </w:tcPr>
          <w:p>
            <w:pPr>
              <w:pStyle w:val="Normal"/>
              <w:spacing w:lineRule="auto" w:line="276" w:before="0" w:after="0"/>
              <w:rPr/>
            </w:pPr>
            <w:r>
              <w:rPr>
                <w:rFonts w:ascii="Times New Roman" w:hAnsi="Times New Roman"/>
                <w:b/>
                <w:sz w:val="24"/>
              </w:rPr>
              <w:t>Période</w:t>
            </w:r>
          </w:p>
        </w:tc>
        <w:tc>
          <w:tcPr>
            <w:tcW w:w="3213" w:type="dxa"/>
            <w:tcBorders/>
          </w:tcPr>
          <w:p>
            <w:pPr>
              <w:pStyle w:val="Normal"/>
              <w:spacing w:lineRule="auto" w:line="276" w:before="0" w:after="0"/>
              <w:rPr/>
            </w:pPr>
            <w:r>
              <w:rPr>
                <w:rFonts w:ascii="Times New Roman" w:hAnsi="Times New Roman"/>
                <w:b/>
                <w:sz w:val="24"/>
              </w:rPr>
              <w:t>Priorité</w:t>
            </w:r>
          </w:p>
        </w:tc>
        <w:tc>
          <w:tcPr>
            <w:tcW w:w="3213" w:type="dxa"/>
            <w:tcBorders/>
          </w:tcPr>
          <w:p>
            <w:pPr>
              <w:pStyle w:val="Normal"/>
              <w:spacing w:lineRule="auto" w:line="276" w:before="0" w:after="0"/>
              <w:rPr/>
            </w:pPr>
            <w:r>
              <w:rPr>
                <w:rFonts w:ascii="Times New Roman" w:hAnsi="Times New Roman"/>
                <w:b/>
                <w:sz w:val="24"/>
              </w:rPr>
              <w:t>Objectif mesurable</w:t>
            </w:r>
          </w:p>
        </w:tc>
      </w:tr>
      <w:tr>
        <w:trPr/>
        <w:tc>
          <w:tcPr>
            <w:tcW w:w="3213" w:type="dxa"/>
            <w:tcBorders/>
          </w:tcPr>
          <w:p>
            <w:pPr>
              <w:pStyle w:val="Normal"/>
              <w:spacing w:lineRule="auto" w:line="276" w:before="0" w:after="0"/>
              <w:rPr/>
            </w:pPr>
            <w:r>
              <w:rPr>
                <w:rFonts w:ascii="Times New Roman" w:hAnsi="Times New Roman"/>
                <w:sz w:val="24"/>
              </w:rPr>
              <w:t>Mois 1 à 2</w:t>
            </w:r>
          </w:p>
        </w:tc>
        <w:tc>
          <w:tcPr>
            <w:tcW w:w="3213" w:type="dxa"/>
            <w:tcBorders/>
          </w:tcPr>
          <w:p>
            <w:pPr>
              <w:pStyle w:val="Normal"/>
              <w:spacing w:lineRule="auto" w:line="276" w:before="0" w:after="0"/>
              <w:rPr/>
            </w:pPr>
            <w:r>
              <w:rPr>
                <w:rFonts w:ascii="Times New Roman" w:hAnsi="Times New Roman"/>
                <w:sz w:val="24"/>
              </w:rPr>
              <w:t>Finaliser les contenus, conditions et tests</w:t>
            </w:r>
          </w:p>
        </w:tc>
        <w:tc>
          <w:tcPr>
            <w:tcW w:w="3213" w:type="dxa"/>
            <w:tcBorders/>
          </w:tcPr>
          <w:p>
            <w:pPr>
              <w:pStyle w:val="Normal"/>
              <w:spacing w:lineRule="auto" w:line="276" w:before="0" w:after="0"/>
              <w:rPr/>
            </w:pPr>
            <w:r>
              <w:rPr>
                <w:rFonts w:ascii="Times New Roman" w:hAnsi="Times New Roman"/>
                <w:sz w:val="24"/>
              </w:rPr>
              <w:t>8 DJs vérifiés et 20 créneaux publiés</w:t>
            </w:r>
          </w:p>
        </w:tc>
      </w:tr>
      <w:tr>
        <w:trPr/>
        <w:tc>
          <w:tcPr>
            <w:tcW w:w="3213" w:type="dxa"/>
            <w:tcBorders/>
          </w:tcPr>
          <w:p>
            <w:pPr>
              <w:pStyle w:val="Normal"/>
              <w:spacing w:lineRule="auto" w:line="276" w:before="0" w:after="0"/>
              <w:rPr/>
            </w:pPr>
            <w:r>
              <w:rPr>
                <w:rFonts w:ascii="Times New Roman" w:hAnsi="Times New Roman"/>
                <w:sz w:val="24"/>
              </w:rPr>
              <w:t>Mois 3 à 4</w:t>
            </w:r>
          </w:p>
        </w:tc>
        <w:tc>
          <w:tcPr>
            <w:tcW w:w="3213" w:type="dxa"/>
            <w:tcBorders/>
          </w:tcPr>
          <w:p>
            <w:pPr>
              <w:pStyle w:val="Normal"/>
              <w:spacing w:lineRule="auto" w:line="276" w:before="0" w:after="0"/>
              <w:rPr/>
            </w:pPr>
            <w:r>
              <w:rPr>
                <w:rFonts w:ascii="Times New Roman" w:hAnsi="Times New Roman"/>
                <w:sz w:val="24"/>
              </w:rPr>
              <w:t>Lancer localement et recueillir les retours</w:t>
            </w:r>
          </w:p>
        </w:tc>
        <w:tc>
          <w:tcPr>
            <w:tcW w:w="3213" w:type="dxa"/>
            <w:tcBorders/>
          </w:tcPr>
          <w:p>
            <w:pPr>
              <w:pStyle w:val="Normal"/>
              <w:spacing w:lineRule="auto" w:line="276" w:before="0" w:after="0"/>
              <w:rPr/>
            </w:pPr>
            <w:r>
              <w:rPr>
                <w:rFonts w:ascii="Times New Roman" w:hAnsi="Times New Roman"/>
                <w:sz w:val="24"/>
              </w:rPr>
              <w:t>30 demandes de devis et 10 premiers contrats</w:t>
            </w:r>
          </w:p>
        </w:tc>
      </w:tr>
      <w:tr>
        <w:trPr/>
        <w:tc>
          <w:tcPr>
            <w:tcW w:w="3213" w:type="dxa"/>
            <w:tcBorders/>
          </w:tcPr>
          <w:p>
            <w:pPr>
              <w:pStyle w:val="Normal"/>
              <w:spacing w:lineRule="auto" w:line="276" w:before="0" w:after="0"/>
              <w:rPr/>
            </w:pPr>
            <w:r>
              <w:rPr>
                <w:rFonts w:ascii="Times New Roman" w:hAnsi="Times New Roman"/>
                <w:sz w:val="24"/>
              </w:rPr>
              <w:t>Mois 5 à 6</w:t>
            </w:r>
          </w:p>
        </w:tc>
        <w:tc>
          <w:tcPr>
            <w:tcW w:w="3213" w:type="dxa"/>
            <w:tcBorders/>
          </w:tcPr>
          <w:p>
            <w:pPr>
              <w:pStyle w:val="Normal"/>
              <w:spacing w:lineRule="auto" w:line="276" w:before="0" w:after="0"/>
              <w:rPr/>
            </w:pPr>
            <w:r>
              <w:rPr>
                <w:rFonts w:ascii="Times New Roman" w:hAnsi="Times New Roman"/>
                <w:sz w:val="24"/>
              </w:rPr>
              <w:t>Créer des partenariats locaux</w:t>
            </w:r>
          </w:p>
        </w:tc>
        <w:tc>
          <w:tcPr>
            <w:tcW w:w="3213" w:type="dxa"/>
            <w:tcBorders/>
          </w:tcPr>
          <w:p>
            <w:pPr>
              <w:pStyle w:val="Normal"/>
              <w:spacing w:lineRule="auto" w:line="276" w:before="0" w:after="0"/>
              <w:rPr/>
            </w:pPr>
            <w:r>
              <w:rPr>
                <w:rFonts w:ascii="Times New Roman" w:hAnsi="Times New Roman"/>
                <w:sz w:val="24"/>
              </w:rPr>
              <w:t>5 partenaires : salles, photographes ou traiteurs</w:t>
            </w:r>
          </w:p>
        </w:tc>
      </w:tr>
      <w:tr>
        <w:trPr/>
        <w:tc>
          <w:tcPr>
            <w:tcW w:w="3213" w:type="dxa"/>
            <w:tcBorders/>
          </w:tcPr>
          <w:p>
            <w:pPr>
              <w:pStyle w:val="Normal"/>
              <w:spacing w:lineRule="auto" w:line="276" w:before="0" w:after="0"/>
              <w:rPr/>
            </w:pPr>
            <w:r>
              <w:rPr>
                <w:rFonts w:ascii="Times New Roman" w:hAnsi="Times New Roman"/>
                <w:sz w:val="24"/>
              </w:rPr>
              <w:t>Mois 7 à 9</w:t>
            </w:r>
          </w:p>
        </w:tc>
        <w:tc>
          <w:tcPr>
            <w:tcW w:w="3213" w:type="dxa"/>
            <w:tcBorders/>
          </w:tcPr>
          <w:p>
            <w:pPr>
              <w:pStyle w:val="Normal"/>
              <w:spacing w:lineRule="auto" w:line="276" w:before="0" w:after="0"/>
              <w:rPr/>
            </w:pPr>
            <w:r>
              <w:rPr>
                <w:rFonts w:ascii="Times New Roman" w:hAnsi="Times New Roman"/>
                <w:sz w:val="24"/>
              </w:rPr>
              <w:t>Renforcer la visibilité et la conversion</w:t>
            </w:r>
          </w:p>
        </w:tc>
        <w:tc>
          <w:tcPr>
            <w:tcW w:w="3213" w:type="dxa"/>
            <w:tcBorders/>
          </w:tcPr>
          <w:p>
            <w:pPr>
              <w:pStyle w:val="Normal"/>
              <w:spacing w:lineRule="auto" w:line="276" w:before="0" w:after="0"/>
              <w:rPr/>
            </w:pPr>
            <w:r>
              <w:rPr>
                <w:rFonts w:ascii="Times New Roman" w:hAnsi="Times New Roman"/>
                <w:sz w:val="24"/>
              </w:rPr>
              <w:t>40 réservations cumulées et note moyenne supérieure ou égale à 4/5</w:t>
            </w:r>
          </w:p>
        </w:tc>
      </w:tr>
      <w:tr>
        <w:trPr/>
        <w:tc>
          <w:tcPr>
            <w:tcW w:w="3213" w:type="dxa"/>
            <w:tcBorders/>
          </w:tcPr>
          <w:p>
            <w:pPr>
              <w:pStyle w:val="Normal"/>
              <w:spacing w:lineRule="auto" w:line="276" w:before="0" w:after="0"/>
              <w:rPr/>
            </w:pPr>
            <w:r>
              <w:rPr>
                <w:rFonts w:ascii="Times New Roman" w:hAnsi="Times New Roman"/>
                <w:sz w:val="24"/>
              </w:rPr>
              <w:t>Mois 10 à 12</w:t>
            </w:r>
          </w:p>
        </w:tc>
        <w:tc>
          <w:tcPr>
            <w:tcW w:w="3213" w:type="dxa"/>
            <w:tcBorders/>
          </w:tcPr>
          <w:p>
            <w:pPr>
              <w:pStyle w:val="Normal"/>
              <w:spacing w:lineRule="auto" w:line="276" w:before="0" w:after="0"/>
              <w:rPr/>
            </w:pPr>
            <w:r>
              <w:rPr>
                <w:rFonts w:ascii="Times New Roman" w:hAnsi="Times New Roman"/>
                <w:sz w:val="24"/>
              </w:rPr>
              <w:t>Évaluer le modèle et préparer l'année 2</w:t>
            </w:r>
          </w:p>
        </w:tc>
        <w:tc>
          <w:tcPr>
            <w:tcW w:w="3213" w:type="dxa"/>
            <w:tcBorders/>
          </w:tcPr>
          <w:p>
            <w:pPr>
              <w:pStyle w:val="Normal"/>
              <w:spacing w:lineRule="auto" w:line="276" w:before="0" w:after="0"/>
              <w:rPr/>
            </w:pPr>
            <w:r>
              <w:rPr>
                <w:rFonts w:ascii="Times New Roman" w:hAnsi="Times New Roman"/>
                <w:sz w:val="24"/>
              </w:rPr>
              <w:t>72 réservations cumulées et décision sur l'extension géographique</w:t>
            </w:r>
          </w:p>
        </w:tc>
      </w:tr>
    </w:tbl>
    <w:p>
      <w:pPr>
        <w:pStyle w:val="Normal"/>
        <w:rPr/>
      </w:pPr>
      <w:r>
        <w:rPr/>
      </w:r>
    </w:p>
    <w:p>
      <w:pPr>
        <w:pStyle w:val="Heading1"/>
        <w:spacing w:lineRule="auto" w:line="276" w:before="240" w:after="120"/>
        <w:rPr/>
      </w:pPr>
      <w:r>
        <w:rPr>
          <w:rFonts w:ascii="Times New Roman" w:hAnsi="Times New Roman"/>
          <w:b/>
          <w:sz w:val="24"/>
        </w:rPr>
        <w:t>9. Moyens de production et organisation</w:t>
      </w:r>
    </w:p>
    <w:p>
      <w:pPr>
        <w:pStyle w:val="Normal"/>
        <w:spacing w:lineRule="auto" w:line="276" w:before="0" w:after="120"/>
        <w:rPr/>
      </w:pPr>
      <w:r>
        <w:rPr>
          <w:rFonts w:ascii="Times New Roman" w:hAnsi="Times New Roman"/>
          <w:sz w:val="24"/>
        </w:rPr>
        <w:t>La solution repose sur Django, une API REST, MariaDB et une interface web React. Les paiements sont préparés avec Stripe en environnement de test. L’architecture intègre des rôles, des notifications, des documents PDF, des contrôles de disponibilité, des exports et une conservation des éléments de traçabilité.</w:t>
      </w:r>
    </w:p>
    <w:p>
      <w:pPr>
        <w:pStyle w:val="Heading2"/>
        <w:spacing w:lineRule="auto" w:line="276" w:before="160" w:after="120"/>
        <w:rPr/>
      </w:pPr>
      <w:r>
        <w:rPr>
          <w:rFonts w:ascii="Times New Roman" w:hAnsi="Times New Roman"/>
          <w:b/>
          <w:sz w:val="24"/>
        </w:rPr>
        <w:t>9.1 Passage vers les paiements réels</w:t>
      </w:r>
    </w:p>
    <w:p>
      <w:pPr>
        <w:pStyle w:val="Normal"/>
        <w:spacing w:lineRule="auto" w:line="276" w:before="0" w:after="120"/>
        <w:rPr/>
      </w:pPr>
      <w:r>
        <w:rPr>
          <w:rFonts w:ascii="Times New Roman" w:hAnsi="Times New Roman"/>
          <w:sz w:val="24"/>
        </w:rPr>
        <w:t>Les paiements présentés dans l'application utilisent actuellement l'environnement de test de Stripe. Ils permettent de vérifier le parcours de paiement, mais ne correspondent pas à des encaissements réels. Avant toute mise en production, il faudra activer le compte Stripe, utiliser les clés de production, configurer un endpoint HTTPS pour les webhooks, vérifier les signatures reçues et tester les paiements, annulations et remboursements avec un faible montant. Cette étape devra aussi être validée avec un comptable et, si nécessaire, un conseil juridique.</w:t>
      </w:r>
      <w:r>
        <w:rPr>
          <w:rStyle w:val="FootnoteReference"/>
        </w:rPr>
        <w:footnoteReference w:id="9"/>
      </w:r>
    </w:p>
    <w:p>
      <w:pPr>
        <w:pStyle w:val="Normal"/>
        <w:spacing w:lineRule="auto" w:line="276" w:before="0" w:after="120"/>
        <w:rPr/>
      </w:pPr>
      <w:r>
        <w:rPr>
          <w:rFonts w:ascii="Times New Roman" w:hAnsi="Times New Roman"/>
          <w:sz w:val="24"/>
        </w:rPr>
        <w:t>Au lancement, une seule personne peut assurer l’administration opérationnelle, avec un support par e-mail et des procédures simples pour les annulations, suppressions de compte et remboursements. La sauvegarde, la mise à jour de sécurité et le suivi des incidents doivent être planifiés avant toute mise en production.</w:t>
      </w:r>
    </w:p>
    <w:p>
      <w:pPr>
        <w:pStyle w:val="Heading1"/>
        <w:spacing w:lineRule="auto" w:line="276" w:before="240" w:after="120"/>
        <w:rPr/>
      </w:pPr>
      <w:r>
        <w:rPr>
          <w:rFonts w:ascii="Times New Roman" w:hAnsi="Times New Roman"/>
          <w:b/>
          <w:sz w:val="24"/>
        </w:rPr>
        <w:t>10. Statut juridique et gouvernance</w:t>
      </w:r>
    </w:p>
    <w:p>
      <w:pPr>
        <w:pStyle w:val="Normal"/>
        <w:spacing w:lineRule="auto" w:line="276" w:before="0" w:after="120"/>
        <w:rPr/>
      </w:pPr>
      <w:r>
        <w:rPr>
          <w:rFonts w:ascii="Times New Roman" w:hAnsi="Times New Roman"/>
          <w:sz w:val="24"/>
        </w:rPr>
        <w:t>Le choix entre une activité indépendante et une SRL dépendra du niveau de risque, du financement, du nombre d’associés et du chiffre d’affaires réel. Une SRL peut être pertinente lors d’une montée en charge, mais elle ne doit pas être présentée comme automatique. Avant un lancement commercial, le projet doit être validé avec un guichet d’entreprise, un comptable et, si nécessaire, un conseil juridique.</w:t>
      </w:r>
    </w:p>
    <w:p>
      <w:pPr>
        <w:pStyle w:val="Heading1"/>
        <w:spacing w:lineRule="auto" w:line="276" w:before="240" w:after="120"/>
        <w:rPr/>
      </w:pPr>
      <w:r>
        <w:rPr>
          <w:rFonts w:ascii="Times New Roman" w:hAnsi="Times New Roman"/>
          <w:b/>
          <w:sz w:val="24"/>
        </w:rPr>
        <w:t>11. Gestion des risques</w:t>
      </w:r>
    </w:p>
    <w:tbl>
      <w:tblPr>
        <w:tblW w:w="9639" w:type="dxa"/>
        <w:jc w:val="start"/>
        <w:tblInd w:w="0" w:type="dxa"/>
        <w:tblLayout w:type="fixed"/>
        <w:tblCellMar>
          <w:top w:w="100" w:type="dxa"/>
          <w:start w:w="100" w:type="dxa"/>
          <w:bottom w:w="100" w:type="dxa"/>
          <w:end w:w="100" w:type="dxa"/>
        </w:tblCellMar>
        <w:tblLook w:val="04a0" w:firstRow="1" w:noVBand="1" w:lastRow="0" w:firstColumn="1" w:lastColumn="0" w:noHBand="0"/>
      </w:tblPr>
      <w:tblGrid>
        <w:gridCol w:w="3213"/>
        <w:gridCol w:w="3213"/>
        <w:gridCol w:w="3213"/>
      </w:tblGrid>
      <w:tr>
        <w:trPr/>
        <w:tc>
          <w:tcPr>
            <w:tcW w:w="3213" w:type="dxa"/>
            <w:tcBorders/>
          </w:tcPr>
          <w:p>
            <w:pPr>
              <w:pStyle w:val="Normal"/>
              <w:spacing w:lineRule="auto" w:line="276" w:before="0" w:after="0"/>
              <w:rPr/>
            </w:pPr>
            <w:r>
              <w:rPr>
                <w:rFonts w:ascii="Times New Roman" w:hAnsi="Times New Roman"/>
                <w:b/>
                <w:sz w:val="24"/>
              </w:rPr>
              <w:t>Risque</w:t>
            </w:r>
          </w:p>
        </w:tc>
        <w:tc>
          <w:tcPr>
            <w:tcW w:w="3213" w:type="dxa"/>
            <w:tcBorders/>
          </w:tcPr>
          <w:p>
            <w:pPr>
              <w:pStyle w:val="Normal"/>
              <w:spacing w:lineRule="auto" w:line="276" w:before="0" w:after="0"/>
              <w:rPr/>
            </w:pPr>
            <w:r>
              <w:rPr>
                <w:rFonts w:ascii="Times New Roman" w:hAnsi="Times New Roman"/>
                <w:b/>
                <w:sz w:val="24"/>
              </w:rPr>
              <w:t>Prévention</w:t>
            </w:r>
          </w:p>
        </w:tc>
        <w:tc>
          <w:tcPr>
            <w:tcW w:w="3213" w:type="dxa"/>
            <w:tcBorders/>
          </w:tcPr>
          <w:p>
            <w:pPr>
              <w:pStyle w:val="Normal"/>
              <w:spacing w:lineRule="auto" w:line="276" w:before="0" w:after="0"/>
              <w:rPr/>
            </w:pPr>
            <w:r>
              <w:rPr>
                <w:rFonts w:ascii="Times New Roman" w:hAnsi="Times New Roman"/>
                <w:b/>
                <w:sz w:val="24"/>
              </w:rPr>
              <w:t>Réponse</w:t>
            </w:r>
          </w:p>
        </w:tc>
      </w:tr>
      <w:tr>
        <w:trPr/>
        <w:tc>
          <w:tcPr>
            <w:tcW w:w="3213" w:type="dxa"/>
            <w:tcBorders/>
          </w:tcPr>
          <w:p>
            <w:pPr>
              <w:pStyle w:val="Normal"/>
              <w:spacing w:lineRule="auto" w:line="276" w:before="0" w:after="0"/>
              <w:rPr/>
            </w:pPr>
            <w:r>
              <w:rPr>
                <w:rFonts w:ascii="Times New Roman" w:hAnsi="Times New Roman"/>
                <w:sz w:val="24"/>
              </w:rPr>
              <w:t>Conflit de disponibilité</w:t>
            </w:r>
          </w:p>
        </w:tc>
        <w:tc>
          <w:tcPr>
            <w:tcW w:w="3213" w:type="dxa"/>
            <w:tcBorders/>
          </w:tcPr>
          <w:p>
            <w:pPr>
              <w:pStyle w:val="Normal"/>
              <w:spacing w:lineRule="auto" w:line="276" w:before="0" w:after="0"/>
              <w:rPr/>
            </w:pPr>
            <w:r>
              <w:rPr>
                <w:rFonts w:ascii="Times New Roman" w:hAnsi="Times New Roman"/>
                <w:sz w:val="24"/>
              </w:rPr>
              <w:t>Vérification des créneaux et affectation administrative</w:t>
            </w:r>
          </w:p>
        </w:tc>
        <w:tc>
          <w:tcPr>
            <w:tcW w:w="3213" w:type="dxa"/>
            <w:tcBorders/>
          </w:tcPr>
          <w:p>
            <w:pPr>
              <w:pStyle w:val="Normal"/>
              <w:spacing w:lineRule="auto" w:line="276" w:before="0" w:after="0"/>
              <w:rPr/>
            </w:pPr>
            <w:r>
              <w:rPr>
                <w:rFonts w:ascii="Times New Roman" w:hAnsi="Times New Roman"/>
                <w:sz w:val="24"/>
              </w:rPr>
              <w:t>Refuser ou réaffecter avant contrat</w:t>
            </w:r>
          </w:p>
        </w:tc>
      </w:tr>
      <w:tr>
        <w:trPr/>
        <w:tc>
          <w:tcPr>
            <w:tcW w:w="3213" w:type="dxa"/>
            <w:tcBorders/>
          </w:tcPr>
          <w:p>
            <w:pPr>
              <w:pStyle w:val="Normal"/>
              <w:spacing w:lineRule="auto" w:line="276" w:before="0" w:after="0"/>
              <w:rPr/>
            </w:pPr>
            <w:r>
              <w:rPr>
                <w:rFonts w:ascii="Times New Roman" w:hAnsi="Times New Roman"/>
                <w:sz w:val="24"/>
              </w:rPr>
              <w:t>Paiement incomplet ou doublon</w:t>
            </w:r>
          </w:p>
        </w:tc>
        <w:tc>
          <w:tcPr>
            <w:tcW w:w="3213" w:type="dxa"/>
            <w:tcBorders/>
          </w:tcPr>
          <w:p>
            <w:pPr>
              <w:pStyle w:val="Normal"/>
              <w:spacing w:lineRule="auto" w:line="276" w:before="0" w:after="0"/>
              <w:rPr/>
            </w:pPr>
            <w:r>
              <w:rPr>
                <w:rFonts w:ascii="Times New Roman" w:hAnsi="Times New Roman"/>
                <w:sz w:val="24"/>
              </w:rPr>
              <w:t>Factures reliées au dossier et contrôle des paiements</w:t>
            </w:r>
          </w:p>
        </w:tc>
        <w:tc>
          <w:tcPr>
            <w:tcW w:w="3213" w:type="dxa"/>
            <w:tcBorders/>
          </w:tcPr>
          <w:p>
            <w:pPr>
              <w:pStyle w:val="Normal"/>
              <w:spacing w:lineRule="auto" w:line="276" w:before="0" w:after="0"/>
              <w:rPr/>
            </w:pPr>
            <w:r>
              <w:rPr>
                <w:rFonts w:ascii="Times New Roman" w:hAnsi="Times New Roman"/>
                <w:sz w:val="24"/>
              </w:rPr>
              <w:t>Bloquer le doublon, suivre remboursement ou relance</w:t>
            </w:r>
          </w:p>
        </w:tc>
      </w:tr>
      <w:tr>
        <w:trPr/>
        <w:tc>
          <w:tcPr>
            <w:tcW w:w="3213" w:type="dxa"/>
            <w:tcBorders/>
          </w:tcPr>
          <w:p>
            <w:pPr>
              <w:pStyle w:val="Normal"/>
              <w:spacing w:lineRule="auto" w:line="276" w:before="0" w:after="0"/>
              <w:rPr/>
            </w:pPr>
            <w:r>
              <w:rPr>
                <w:rFonts w:ascii="Times New Roman" w:hAnsi="Times New Roman"/>
                <w:sz w:val="24"/>
              </w:rPr>
              <w:t>Annulation</w:t>
            </w:r>
          </w:p>
        </w:tc>
        <w:tc>
          <w:tcPr>
            <w:tcW w:w="3213" w:type="dxa"/>
            <w:tcBorders/>
          </w:tcPr>
          <w:p>
            <w:pPr>
              <w:pStyle w:val="Normal"/>
              <w:spacing w:lineRule="auto" w:line="276" w:before="0" w:after="0"/>
              <w:rPr/>
            </w:pPr>
            <w:r>
              <w:rPr>
                <w:rFonts w:ascii="Times New Roman" w:hAnsi="Times New Roman"/>
                <w:sz w:val="24"/>
              </w:rPr>
              <w:t>Contrat, conditions et historique</w:t>
            </w:r>
          </w:p>
        </w:tc>
        <w:tc>
          <w:tcPr>
            <w:tcW w:w="3213" w:type="dxa"/>
            <w:tcBorders/>
          </w:tcPr>
          <w:p>
            <w:pPr>
              <w:pStyle w:val="Normal"/>
              <w:spacing w:lineRule="auto" w:line="276" w:before="0" w:after="0"/>
              <w:rPr/>
            </w:pPr>
            <w:r>
              <w:rPr>
                <w:rFonts w:ascii="Times New Roman" w:hAnsi="Times New Roman"/>
                <w:sz w:val="24"/>
              </w:rPr>
              <w:t>Libérer le créneau ou traiter remboursement</w:t>
            </w:r>
          </w:p>
        </w:tc>
      </w:tr>
      <w:tr>
        <w:trPr/>
        <w:tc>
          <w:tcPr>
            <w:tcW w:w="3213" w:type="dxa"/>
            <w:tcBorders/>
          </w:tcPr>
          <w:p>
            <w:pPr>
              <w:pStyle w:val="Normal"/>
              <w:spacing w:lineRule="auto" w:line="276" w:before="0" w:after="0"/>
              <w:rPr/>
            </w:pPr>
            <w:r>
              <w:rPr>
                <w:rFonts w:ascii="Times New Roman" w:hAnsi="Times New Roman"/>
                <w:sz w:val="24"/>
              </w:rPr>
              <w:t>Données personnelles</w:t>
            </w:r>
          </w:p>
        </w:tc>
        <w:tc>
          <w:tcPr>
            <w:tcW w:w="3213" w:type="dxa"/>
            <w:tcBorders/>
          </w:tcPr>
          <w:p>
            <w:pPr>
              <w:pStyle w:val="Normal"/>
              <w:spacing w:lineRule="auto" w:line="276" w:before="0" w:after="0"/>
              <w:rPr/>
            </w:pPr>
            <w:r>
              <w:rPr>
                <w:rFonts w:ascii="Times New Roman" w:hAnsi="Times New Roman"/>
                <w:sz w:val="24"/>
              </w:rPr>
              <w:t>Accès par rôle, politique de confidentialité, documentation</w:t>
            </w:r>
          </w:p>
        </w:tc>
        <w:tc>
          <w:tcPr>
            <w:tcW w:w="3213" w:type="dxa"/>
            <w:tcBorders/>
          </w:tcPr>
          <w:p>
            <w:pPr>
              <w:pStyle w:val="Normal"/>
              <w:spacing w:lineRule="auto" w:line="276" w:before="0" w:after="0"/>
              <w:rPr/>
            </w:pPr>
            <w:r>
              <w:rPr>
                <w:rFonts w:ascii="Times New Roman" w:hAnsi="Times New Roman"/>
                <w:sz w:val="24"/>
              </w:rPr>
              <w:t>Révoquer sessions et appliquer la procédure de suppression</w:t>
            </w:r>
          </w:p>
        </w:tc>
      </w:tr>
      <w:tr>
        <w:trPr/>
        <w:tc>
          <w:tcPr>
            <w:tcW w:w="3213" w:type="dxa"/>
            <w:tcBorders/>
          </w:tcPr>
          <w:p>
            <w:pPr>
              <w:pStyle w:val="Normal"/>
              <w:spacing w:lineRule="auto" w:line="276" w:before="0" w:after="0"/>
              <w:rPr/>
            </w:pPr>
            <w:r>
              <w:rPr>
                <w:rFonts w:ascii="Times New Roman" w:hAnsi="Times New Roman"/>
                <w:sz w:val="24"/>
              </w:rPr>
              <w:t>Indisponibilité technique</w:t>
            </w:r>
          </w:p>
        </w:tc>
        <w:tc>
          <w:tcPr>
            <w:tcW w:w="3213" w:type="dxa"/>
            <w:tcBorders/>
          </w:tcPr>
          <w:p>
            <w:pPr>
              <w:pStyle w:val="Normal"/>
              <w:spacing w:lineRule="auto" w:line="276" w:before="0" w:after="0"/>
              <w:rPr/>
            </w:pPr>
            <w:r>
              <w:rPr>
                <w:rFonts w:ascii="Times New Roman" w:hAnsi="Times New Roman"/>
                <w:sz w:val="24"/>
              </w:rPr>
              <w:t>Sauvegardes, mises à jour, supervision</w:t>
            </w:r>
          </w:p>
        </w:tc>
        <w:tc>
          <w:tcPr>
            <w:tcW w:w="3213" w:type="dxa"/>
            <w:tcBorders/>
          </w:tcPr>
          <w:p>
            <w:pPr>
              <w:pStyle w:val="Normal"/>
              <w:spacing w:lineRule="auto" w:line="276" w:before="0" w:after="0"/>
              <w:rPr/>
            </w:pPr>
            <w:r>
              <w:rPr>
                <w:rFonts w:ascii="Times New Roman" w:hAnsi="Times New Roman"/>
                <w:sz w:val="24"/>
              </w:rPr>
              <w:t>Procédure de restauration et communication client</w:t>
            </w:r>
          </w:p>
        </w:tc>
      </w:tr>
    </w:tbl>
    <w:p>
      <w:pPr>
        <w:pStyle w:val="Normal"/>
        <w:rPr/>
      </w:pPr>
      <w:r>
        <w:rPr/>
      </w:r>
    </w:p>
    <w:p>
      <w:pPr>
        <w:pStyle w:val="Heading1"/>
        <w:spacing w:lineRule="auto" w:line="276" w:before="240" w:after="120"/>
        <w:rPr/>
      </w:pPr>
      <w:r>
        <w:rPr>
          <w:rFonts w:ascii="Times New Roman" w:hAnsi="Times New Roman"/>
          <w:b/>
          <w:sz w:val="24"/>
        </w:rPr>
        <w:t>12. Indicateurs de pilotage</w:t>
      </w:r>
    </w:p>
    <w:p>
      <w:pPr>
        <w:pStyle w:val="Normal"/>
        <w:spacing w:lineRule="auto" w:line="276" w:before="0" w:after="120"/>
        <w:ind w:hanging="240" w:start="360"/>
        <w:rPr/>
      </w:pPr>
      <w:r>
        <w:rPr>
          <w:rFonts w:ascii="Times New Roman" w:hAnsi="Times New Roman"/>
          <w:sz w:val="24"/>
        </w:rPr>
        <w:t xml:space="preserve">• </w:t>
      </w:r>
      <w:r>
        <w:rPr>
          <w:rFonts w:ascii="Times New Roman" w:hAnsi="Times New Roman"/>
          <w:sz w:val="24"/>
        </w:rPr>
        <w:t>Nombre de DJs actifs et taux de créneaux renseignés.</w:t>
      </w:r>
    </w:p>
    <w:p>
      <w:pPr>
        <w:pStyle w:val="Normal"/>
        <w:spacing w:lineRule="auto" w:line="276" w:before="0" w:after="120"/>
        <w:ind w:hanging="240" w:start="360"/>
        <w:rPr/>
      </w:pPr>
      <w:r>
        <w:rPr>
          <w:rFonts w:ascii="Times New Roman" w:hAnsi="Times New Roman"/>
          <w:sz w:val="24"/>
        </w:rPr>
        <w:t xml:space="preserve">• </w:t>
      </w:r>
      <w:r>
        <w:rPr>
          <w:rFonts w:ascii="Times New Roman" w:hAnsi="Times New Roman"/>
          <w:sz w:val="24"/>
        </w:rPr>
        <w:t>Nombre de devis, taux de réponse DJ et taux de conversion en réservation.</w:t>
      </w:r>
    </w:p>
    <w:p>
      <w:pPr>
        <w:pStyle w:val="Normal"/>
        <w:spacing w:lineRule="auto" w:line="276" w:before="0" w:after="120"/>
        <w:ind w:hanging="240" w:start="360"/>
        <w:rPr/>
      </w:pPr>
      <w:r>
        <w:rPr>
          <w:rFonts w:ascii="Times New Roman" w:hAnsi="Times New Roman"/>
          <w:sz w:val="24"/>
        </w:rPr>
        <w:t xml:space="preserve">• </w:t>
      </w:r>
      <w:r>
        <w:rPr>
          <w:rFonts w:ascii="Times New Roman" w:hAnsi="Times New Roman"/>
          <w:sz w:val="24"/>
        </w:rPr>
        <w:t>Panier moyen, commission moyenne, coût Stripe et marge par réservation.</w:t>
      </w:r>
    </w:p>
    <w:p>
      <w:pPr>
        <w:pStyle w:val="Normal"/>
        <w:spacing w:lineRule="auto" w:line="276" w:before="0" w:after="120"/>
        <w:ind w:hanging="240" w:start="360"/>
        <w:rPr/>
      </w:pPr>
      <w:r>
        <w:rPr>
          <w:rFonts w:ascii="Times New Roman" w:hAnsi="Times New Roman"/>
          <w:sz w:val="24"/>
        </w:rPr>
        <w:t xml:space="preserve">• </w:t>
      </w:r>
      <w:r>
        <w:rPr>
          <w:rFonts w:ascii="Times New Roman" w:hAnsi="Times New Roman"/>
          <w:sz w:val="24"/>
        </w:rPr>
        <w:t>Délai moyen de traitement, taux d’annulation, taux de remboursement et note moyenne.</w:t>
      </w:r>
    </w:p>
    <w:p>
      <w:pPr>
        <w:pStyle w:val="Heading1"/>
        <w:spacing w:lineRule="auto" w:line="276" w:before="240" w:after="120"/>
        <w:rPr/>
      </w:pPr>
      <w:r>
        <w:rPr>
          <w:rFonts w:ascii="Times New Roman" w:hAnsi="Times New Roman"/>
          <w:b/>
          <w:sz w:val="24"/>
        </w:rPr>
        <w:t>Conclusion générale</w:t>
      </w:r>
    </w:p>
    <w:p>
      <w:pPr>
        <w:pStyle w:val="Normal"/>
        <w:spacing w:lineRule="auto" w:line="276" w:before="0" w:after="120"/>
        <w:rPr/>
      </w:pPr>
      <w:r>
        <w:rPr>
          <w:rFonts w:ascii="Times New Roman" w:hAnsi="Times New Roman"/>
          <w:sz w:val="24"/>
        </w:rPr>
        <w:t>Ultimate DJ est un projet cohérent lorsque sa promesse reste concentrée : rendre le parcours d’une prestation DJ plus clair, traçable et sécurisé. Le MVP réalisé apporte une base solide pour démontrer cette valeur. La rentabilité n’est pas immédiate dans le scénario prudent retenu ; elle dépend principalement de l’acquisition régulière de réservations, de la maîtrise des coûts et d’un modèle de commission accepté par les DJs. La prochaine étape consiste à valider ces hypothèses avec des utilisateurs réels avant d’élargir l’offre commerciale.</w:t>
      </w:r>
    </w:p>
    <w:p>
      <w:pPr>
        <w:pStyle w:val="Normal"/>
        <w:rPr/>
      </w:pPr>
      <w:r>
        <w:rPr/>
      </w:r>
      <w:r>
        <w:br w:type="page"/>
      </w:r>
    </w:p>
    <w:p>
      <w:pPr>
        <w:pStyle w:val="Heading1"/>
        <w:spacing w:lineRule="auto" w:line="276" w:before="0" w:after="120"/>
        <w:rPr/>
      </w:pPr>
      <w:r>
        <w:rPr>
          <w:rFonts w:ascii="Times New Roman" w:hAnsi="Times New Roman"/>
          <w:b/>
          <w:sz w:val="24"/>
        </w:rPr>
        <w:t>Bibliographie</w:t>
      </w:r>
    </w:p>
    <w:p>
      <w:pPr>
        <w:pStyle w:val="Normal"/>
        <w:spacing w:lineRule="auto" w:line="276" w:before="0" w:after="120"/>
        <w:rPr/>
      </w:pPr>
      <w:r>
        <w:rPr>
          <w:rFonts w:ascii="Times New Roman" w:hAnsi="Times New Roman"/>
          <w:sz w:val="24"/>
        </w:rPr>
        <w:t>Les références ci-dessous regroupent uniquement les sources citées dans les notes de bas de page. Elles sont présentées par ordre alphabétique d’auteur ou d’organisme, conformément à la convention bibliographique fournie.</w:t>
      </w:r>
    </w:p>
    <w:p>
      <w:pPr>
        <w:pStyle w:val="Normal"/>
        <w:spacing w:lineRule="auto" w:line="276" w:before="0" w:after="120"/>
        <w:rPr/>
      </w:pPr>
      <w:r>
        <w:rPr>
          <w:rFonts w:ascii="Times New Roman" w:hAnsi="Times New Roman"/>
          <w:sz w:val="24"/>
        </w:rPr>
        <w:t xml:space="preserve">-AUTORITÉ DE PROTECTION DES DONNÉES. 2026. </w:t>
      </w:r>
      <w:r>
        <w:rPr>
          <w:rFonts w:ascii="Times New Roman" w:hAnsi="Times New Roman"/>
          <w:i/>
          <w:sz w:val="24"/>
        </w:rPr>
        <w:t>Registre des activités de traitement</w:t>
      </w:r>
      <w:r>
        <w:rPr>
          <w:rFonts w:ascii="Times New Roman" w:hAnsi="Times New Roman"/>
          <w:sz w:val="24"/>
        </w:rPr>
        <w:t>. Site Web sur INTERNET. &lt;https://www.autoriteprotectiondonnees.be/professionnel/rgpd-/registre-des-activites-de-traitement&gt;. Dernière consultation : le 10-10-2026.</w:t>
      </w:r>
    </w:p>
    <w:p>
      <w:pPr>
        <w:pStyle w:val="Normal"/>
        <w:spacing w:lineRule="auto" w:line="276" w:before="0" w:after="120"/>
        <w:rPr/>
      </w:pPr>
      <w:r>
        <w:rPr>
          <w:rFonts w:ascii="Times New Roman" w:hAnsi="Times New Roman"/>
          <w:sz w:val="24"/>
        </w:rPr>
        <w:t xml:space="preserve">-OPENAI. 2026. </w:t>
      </w:r>
      <w:r>
        <w:rPr>
          <w:rFonts w:ascii="Times New Roman" w:hAnsi="Times New Roman"/>
          <w:i/>
          <w:sz w:val="24"/>
        </w:rPr>
        <w:t>ChatGPT</w:t>
      </w:r>
      <w:r>
        <w:rPr>
          <w:rFonts w:ascii="Times New Roman" w:hAnsi="Times New Roman"/>
          <w:sz w:val="24"/>
        </w:rPr>
        <w:t>. Site Web sur INTERNET. &lt;https://chatgpt.com/&gt;. Dernière consultation : le 10-10-2026.</w:t>
      </w:r>
    </w:p>
    <w:p>
      <w:pPr>
        <w:pStyle w:val="Normal"/>
        <w:spacing w:lineRule="auto" w:line="276" w:before="0" w:after="120"/>
        <w:rPr/>
      </w:pPr>
      <w:r>
        <w:rPr>
          <w:rFonts w:ascii="Times New Roman" w:hAnsi="Times New Roman"/>
          <w:sz w:val="24"/>
        </w:rPr>
        <w:t xml:space="preserve">- SERVICE PUBLIC FÉDÉRAL FINANCES. 2026. </w:t>
      </w:r>
      <w:r>
        <w:rPr>
          <w:rFonts w:ascii="Times New Roman" w:hAnsi="Times New Roman"/>
          <w:i/>
          <w:sz w:val="24"/>
        </w:rPr>
        <w:t>Comptabilité et facturation</w:t>
      </w:r>
      <w:r>
        <w:rPr>
          <w:rFonts w:ascii="Times New Roman" w:hAnsi="Times New Roman"/>
          <w:sz w:val="24"/>
        </w:rPr>
        <w:t>. Site Web sur INTERNET. &lt;https://finances.belgium.be/fr/node/1581&gt;. Dernière consultation : le 10-10-2026.</w:t>
      </w:r>
    </w:p>
    <w:p>
      <w:pPr>
        <w:pStyle w:val="Normal"/>
        <w:spacing w:lineRule="auto" w:line="276" w:before="0" w:after="120"/>
        <w:rPr/>
      </w:pPr>
      <w:r>
        <w:rPr>
          <w:rFonts w:ascii="Times New Roman" w:hAnsi="Times New Roman"/>
          <w:sz w:val="24"/>
        </w:rPr>
        <w:t xml:space="preserve">- STATBEL. 2026. </w:t>
      </w:r>
      <w:r>
        <w:rPr>
          <w:rFonts w:ascii="Times New Roman" w:hAnsi="Times New Roman"/>
          <w:i/>
          <w:sz w:val="24"/>
        </w:rPr>
        <w:t>Chiffres d'affaires et investissements</w:t>
      </w:r>
      <w:r>
        <w:rPr>
          <w:rFonts w:ascii="Times New Roman" w:hAnsi="Times New Roman"/>
          <w:sz w:val="24"/>
        </w:rPr>
        <w:t>. Site Web sur INTERNET. &lt;https://statbel.fgov.be/fr/themes/entreprises/chiffres-daffaires-et-investissements&gt;. Dernière consultation : le 10-10-2026.</w:t>
      </w:r>
    </w:p>
    <w:p>
      <w:pPr>
        <w:pStyle w:val="Normal"/>
        <w:spacing w:lineRule="auto" w:line="276" w:before="0" w:after="120"/>
        <w:rPr/>
      </w:pPr>
      <w:r>
        <w:rPr>
          <w:rFonts w:ascii="Times New Roman" w:hAnsi="Times New Roman"/>
          <w:sz w:val="24"/>
        </w:rPr>
        <w:t xml:space="preserve">- STATBEL. 2026. </w:t>
      </w:r>
      <w:r>
        <w:rPr>
          <w:rFonts w:ascii="Times New Roman" w:hAnsi="Times New Roman"/>
          <w:i/>
          <w:sz w:val="24"/>
        </w:rPr>
        <w:t>Mariages</w:t>
      </w:r>
      <w:r>
        <w:rPr>
          <w:rFonts w:ascii="Times New Roman" w:hAnsi="Times New Roman"/>
          <w:sz w:val="24"/>
        </w:rPr>
        <w:t>. Site Web sur INTERNET. &lt;https://statbel.fgov.be/fr/themes/population/partenariat/mariages&gt;. Dernière consultation : le 10-10-2026.</w:t>
      </w:r>
    </w:p>
    <w:p>
      <w:pPr>
        <w:pStyle w:val="Normal"/>
        <w:spacing w:lineRule="auto" w:line="276" w:before="0" w:after="120"/>
        <w:rPr/>
      </w:pPr>
      <w:r>
        <w:rPr>
          <w:rFonts w:ascii="Times New Roman" w:hAnsi="Times New Roman"/>
          <w:sz w:val="24"/>
        </w:rPr>
        <w:t xml:space="preserve">- STRIPE. 2026. </w:t>
      </w:r>
      <w:r>
        <w:rPr>
          <w:rFonts w:ascii="Times New Roman" w:hAnsi="Times New Roman"/>
          <w:i/>
          <w:sz w:val="24"/>
        </w:rPr>
        <w:t>Paiements : tarifs et frais en Belgique</w:t>
      </w:r>
      <w:r>
        <w:rPr>
          <w:rFonts w:ascii="Times New Roman" w:hAnsi="Times New Roman"/>
          <w:sz w:val="24"/>
        </w:rPr>
        <w:t>. Site Web sur INTERNET. &lt;https://stripe.com/fr-be/payments&gt;. Dernière consultation : le 10-10-2026.</w:t>
      </w:r>
    </w:p>
    <w:p>
      <w:pPr>
        <w:pStyle w:val="Normal"/>
        <w:spacing w:lineRule="auto" w:line="276" w:before="0" w:after="120"/>
        <w:rPr/>
      </w:pPr>
      <w:r>
        <w:rPr>
          <w:rFonts w:ascii="Times New Roman" w:hAnsi="Times New Roman"/>
          <w:sz w:val="24"/>
        </w:rPr>
        <w:t xml:space="preserve">- STRIPE. 2026. </w:t>
      </w:r>
      <w:r>
        <w:rPr>
          <w:rFonts w:ascii="Times New Roman" w:hAnsi="Times New Roman"/>
          <w:i/>
          <w:sz w:val="24"/>
        </w:rPr>
        <w:t>Payments : solutions de paiement tout-en-un</w:t>
      </w:r>
      <w:r>
        <w:rPr>
          <w:rFonts w:ascii="Times New Roman" w:hAnsi="Times New Roman"/>
          <w:sz w:val="24"/>
        </w:rPr>
        <w:t>. Site Web sur INTERNET. &lt;https://stripe.com/fr-be/payments&gt;. Dernière consultation : le 10-10-2026.</w:t>
      </w:r>
    </w:p>
    <w:p>
      <w:pPr>
        <w:pStyle w:val="Normal"/>
        <w:spacing w:lineRule="auto" w:line="276" w:before="0" w:after="120"/>
        <w:rPr/>
      </w:pPr>
      <w:r>
        <w:rPr>
          <w:rFonts w:ascii="Times New Roman" w:hAnsi="Times New Roman"/>
          <w:sz w:val="24"/>
        </w:rPr>
        <w:t xml:space="preserve">- UNISONO. 2026. </w:t>
      </w:r>
      <w:r>
        <w:rPr>
          <w:rFonts w:ascii="Times New Roman" w:hAnsi="Times New Roman"/>
          <w:i/>
          <w:sz w:val="24"/>
        </w:rPr>
        <w:t>Quand ai-je besoin d'une licence DJ ?</w:t>
      </w:r>
      <w:r>
        <w:rPr>
          <w:rFonts w:ascii="Times New Roman" w:hAnsi="Times New Roman"/>
          <w:sz w:val="24"/>
        </w:rPr>
        <w:t xml:space="preserve"> Site Web sur INTERNET. &lt;https://www.unisono.be/fr/support/quand-ai-je-besoin-dune-licence-dj&gt;. Dernière consultation : le 10-10-2026.</w:t>
      </w:r>
    </w:p>
    <w:sectPr>
      <w:headerReference w:type="even" r:id="rId5"/>
      <w:headerReference w:type="default" r:id="rId6"/>
      <w:headerReference w:type="first" r:id="rId7"/>
      <w:footerReference w:type="even" r:id="rId8"/>
      <w:footerReference w:type="default" r:id="rId9"/>
      <w:footerReference w:type="first" r:id="rId10"/>
      <w:footnotePr>
        <w:numFmt w:val="decimal"/>
      </w:footnotePr>
      <w:type w:val="nextPage"/>
      <w:pgSz w:w="11906" w:h="16838"/>
      <w:pgMar w:left="1134" w:right="1134" w:gutter="0" w:header="720" w:top="1134" w:footer="72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OpenSymbol">
    <w:altName w:val="Arial Unicode MS"/>
    <w:charset w:val="02"/>
    <w:family w:val="roman"/>
    <w:pitch w:val="variable"/>
  </w:font>
  <w:font w:name="Liberation Sans">
    <w:altName w:val="Arial"/>
    <w:charset w:val="00" w:characterSet="windows-1252"/>
    <w:family w:val="swiss"/>
    <w:pitch w:val="variable"/>
  </w:font>
  <w:font w:name="Arial Black">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hint="eastAsia"/>
      </w:rPr>
    </w:pPr>
    <w:r>
      <w:rPr>
        <w:rFonts w:hint="eastAsia"/>
      </w:rPr>
    </w:r>
  </w:p>
  <w:p>
    <w:pPr>
      <w:pStyle w:val="Footer"/>
      <w:rPr>
        <w:rFonts w:hint="eastAsia"/>
      </w:rPr>
    </w:pPr>
    <w:r>
      <w:rPr>
        <w:rFonts w:hint="eastAsia"/>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hint="eastAsia"/>
      </w:rPr>
    </w:pPr>
    <w:r>
      <w:rPr>
        <w:rFonts w:hint="eastAsia"/>
      </w:rPr>
    </w:r>
  </w:p>
  <w:p>
    <w:pPr>
      <w:pStyle w:val="Footer"/>
      <w:rPr>
        <w:rFonts w:hint="eastAsia"/>
      </w:rPr>
    </w:pPr>
    <w:r>
      <w:rPr>
        <w:rFonts w:hint="eastAsia"/>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9554795"/>
      <w:docPartObj>
        <w:docPartGallery w:val="Page Numbers (Bottom of Page)"/>
        <w:docPartUnique w:val="true"/>
      </w:docPartObj>
    </w:sdtPr>
    <w:sdtContent>
      <w:p>
        <w:pPr>
          <w:pStyle w:val="Footer"/>
          <w:jc w:val="end"/>
          <w:rPr>
            <w:rFonts w:hint="eastAsia"/>
          </w:rPr>
        </w:pPr>
        <w:r>
          <w:rPr/>
          <w:fldChar w:fldCharType="begin"/>
        </w:r>
        <w:r>
          <w:rPr/>
          <w:instrText xml:space="preserve"> PAGE </w:instrText>
        </w:r>
        <w:r>
          <w:rPr/>
          <w:fldChar w:fldCharType="separate"/>
        </w:r>
        <w:r>
          <w:rPr/>
          <w:t>12</w:t>
        </w:r>
        <w:r>
          <w:rPr/>
          <w:fldChar w:fldCharType="end"/>
        </w:r>
      </w:p>
    </w:sdtContent>
  </w:sdt>
  <w:p>
    <w:pPr>
      <w:pStyle w:val="Footer"/>
      <w:rPr>
        <w:rFonts w:hint="eastAsia"/>
      </w:rPr>
    </w:pPr>
    <w:r>
      <w:rPr>
        <w:rFonts w:hint="eastAsia"/>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19554795"/>
      <w:docPartObj>
        <w:docPartGallery w:val="Page Numbers (Bottom of Page)"/>
        <w:docPartUnique w:val="true"/>
      </w:docPartObj>
    </w:sdtPr>
    <w:sdtContent>
      <w:p>
        <w:pPr>
          <w:pStyle w:val="Footer"/>
          <w:jc w:val="end"/>
          <w:rPr>
            <w:rFonts w:hint="eastAsia"/>
          </w:rPr>
        </w:pPr>
        <w:r>
          <w:rPr/>
          <w:fldChar w:fldCharType="begin"/>
        </w:r>
        <w:r>
          <w:rPr/>
          <w:instrText xml:space="preserve"> PAGE </w:instrText>
        </w:r>
        <w:r>
          <w:rPr/>
          <w:fldChar w:fldCharType="separate"/>
        </w:r>
        <w:r>
          <w:rPr/>
          <w:t>12</w:t>
        </w:r>
        <w:r>
          <w:rPr/>
          <w:fldChar w:fldCharType="end"/>
        </w:r>
      </w:p>
    </w:sdtContent>
  </w:sdt>
  <w:p>
    <w:pPr>
      <w:pStyle w:val="Footer"/>
      <w:rPr>
        <w:rFonts w:hint="eastAsia"/>
      </w:rPr>
    </w:pPr>
    <w:r>
      <w:rPr>
        <w:rFonts w:hint="eastAsia"/>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spacing w:lineRule="auto" w:line="276" w:before="0" w:after="120"/>
        <w:rPr/>
      </w:pPr>
      <w:r>
        <w:rPr>
          <w:rStyle w:val="Caractresdenotedebasdepage"/>
        </w:rPr>
        <w:footnoteRef/>
      </w:r>
      <w:r>
        <w:rPr>
          <w:rFonts w:ascii="Times New Roman" w:hAnsi="Times New Roman"/>
          <w:sz w:val="24"/>
        </w:rPr>
        <w:t xml:space="preserve">OPENAI. 2026. </w:t>
      </w:r>
      <w:r>
        <w:rPr>
          <w:rFonts w:ascii="Times New Roman" w:hAnsi="Times New Roman"/>
          <w:i/>
          <w:sz w:val="24"/>
        </w:rPr>
        <w:t>ChatGPT</w:t>
      </w:r>
      <w:r>
        <w:rPr>
          <w:rFonts w:ascii="Times New Roman" w:hAnsi="Times New Roman"/>
          <w:sz w:val="24"/>
        </w:rPr>
        <w:t>. Site Web sur INTERNET. &lt;https://chatgpt.com/&gt;. Dernière consultation : le 10-10-2026.</w:t>
      </w:r>
    </w:p>
  </w:footnote>
  <w:footnote w:id="3">
    <w:p>
      <w:pPr>
        <w:pStyle w:val="FootnoteText"/>
        <w:rPr/>
      </w:pPr>
      <w:r>
        <w:rPr>
          <w:rStyle w:val="Caractresdenotedebasdepage"/>
        </w:rPr>
        <w:footnoteRef/>
      </w:r>
      <w:r>
        <w:rPr>
          <w:rFonts w:ascii="Times New Roman" w:hAnsi="Times New Roman"/>
          <w:sz w:val="24"/>
        </w:rPr>
        <w:t>STATBEL. 2026.</w:t>
      </w:r>
      <w:r>
        <w:rPr>
          <w:rFonts w:ascii="Times New Roman" w:hAnsi="Times New Roman"/>
          <w:i/>
          <w:sz w:val="24"/>
        </w:rPr>
        <w:t>Chiffres d'affaires et investissements</w:t>
      </w:r>
      <w:r>
        <w:rPr>
          <w:rFonts w:ascii="Times New Roman" w:hAnsi="Times New Roman"/>
          <w:sz w:val="24"/>
        </w:rPr>
        <w:t>. Site Web sur INTERNET. &lt;https://statbel.fgov.be/fr/themes/entreprises/chiffres-daffaires-et-investissements&gt;. Dernière consultation : le 10-10-2026.</w:t>
      </w:r>
    </w:p>
  </w:footnote>
  <w:footnote w:id="4">
    <w:p>
      <w:pPr>
        <w:pStyle w:val="FootnoteText"/>
        <w:rPr/>
      </w:pPr>
      <w:r>
        <w:rPr>
          <w:rStyle w:val="Caractresdenotedebasdepage"/>
        </w:rPr>
        <w:footnoteRef/>
      </w:r>
      <w:r>
        <w:rPr>
          <w:rFonts w:ascii="Times New Roman" w:hAnsi="Times New Roman"/>
          <w:sz w:val="24"/>
        </w:rPr>
        <w:t>STRIPE. 2026.</w:t>
      </w:r>
      <w:r>
        <w:rPr>
          <w:rFonts w:ascii="Times New Roman" w:hAnsi="Times New Roman"/>
          <w:i/>
          <w:sz w:val="24"/>
        </w:rPr>
        <w:t>Paiements : tarifs et frais en Belgique</w:t>
      </w:r>
      <w:r>
        <w:rPr>
          <w:rFonts w:ascii="Times New Roman" w:hAnsi="Times New Roman"/>
          <w:sz w:val="24"/>
        </w:rPr>
        <w:t>. Site Web sur INTERNET. &lt;https://stripe.com/fr-be/payments&gt;. Dernière consultation : le 10-10-2026.</w:t>
      </w:r>
    </w:p>
  </w:footnote>
  <w:footnote w:id="5">
    <w:p>
      <w:pPr>
        <w:pStyle w:val="FootnoteText"/>
        <w:rPr/>
      </w:pPr>
      <w:r>
        <w:rPr>
          <w:rStyle w:val="Caractresdenotedebasdepage"/>
        </w:rPr>
        <w:footnoteRef/>
      </w:r>
      <w:r>
        <w:rPr>
          <w:rFonts w:ascii="Times New Roman" w:hAnsi="Times New Roman"/>
          <w:sz w:val="24"/>
        </w:rPr>
        <w:t>SERVICE PUBLIC FÉDÉRAL FINANCES. 2026.</w:t>
      </w:r>
      <w:r>
        <w:rPr>
          <w:rFonts w:ascii="Times New Roman" w:hAnsi="Times New Roman"/>
          <w:i/>
          <w:sz w:val="24"/>
        </w:rPr>
        <w:t>Comptabilité et facturation</w:t>
      </w:r>
      <w:r>
        <w:rPr>
          <w:rFonts w:ascii="Times New Roman" w:hAnsi="Times New Roman"/>
          <w:sz w:val="24"/>
        </w:rPr>
        <w:t>. Site Web sur INTERNET. &lt;https://finances.belgium.be/fr/node/1581&gt;. Dernière consultation : le 10-10-2026.</w:t>
      </w:r>
    </w:p>
  </w:footnote>
  <w:footnote w:id="6">
    <w:p>
      <w:pPr>
        <w:pStyle w:val="FootnoteText"/>
        <w:rPr/>
      </w:pPr>
      <w:r>
        <w:rPr>
          <w:rStyle w:val="Caractresdenotedebasdepage"/>
        </w:rPr>
        <w:footnoteRef/>
      </w:r>
      <w:r>
        <w:rPr>
          <w:rFonts w:ascii="Times New Roman" w:hAnsi="Times New Roman"/>
          <w:sz w:val="24"/>
        </w:rPr>
        <w:t>AUTORITÉ DE PROTECTION DES DONNÉES. 2026.</w:t>
      </w:r>
      <w:r>
        <w:rPr>
          <w:rFonts w:ascii="Times New Roman" w:hAnsi="Times New Roman"/>
          <w:i/>
          <w:sz w:val="24"/>
        </w:rPr>
        <w:t>Registre des activités de traitement</w:t>
      </w:r>
      <w:r>
        <w:rPr>
          <w:rFonts w:ascii="Times New Roman" w:hAnsi="Times New Roman"/>
          <w:sz w:val="24"/>
        </w:rPr>
        <w:t>. Site Web sur INTERNET. &lt;https://www.autoriteprotectiondonnees.be/professionnel/rgpd-/registre-des-activites-de-traitement&gt;. Dernière consultation : le 10-10-2026.</w:t>
      </w:r>
    </w:p>
  </w:footnote>
  <w:footnote w:id="7">
    <w:p>
      <w:pPr>
        <w:pStyle w:val="FootnoteText"/>
        <w:rPr/>
      </w:pPr>
      <w:r>
        <w:rPr>
          <w:rStyle w:val="Caractresdenotedebasdepage"/>
        </w:rPr>
        <w:footnoteRef/>
      </w:r>
      <w:r>
        <w:rPr>
          <w:rFonts w:ascii="Times New Roman" w:hAnsi="Times New Roman"/>
          <w:sz w:val="24"/>
        </w:rPr>
        <w:t>UNISONO. 2026.</w:t>
      </w:r>
      <w:r>
        <w:rPr>
          <w:rFonts w:ascii="Times New Roman" w:hAnsi="Times New Roman"/>
          <w:i/>
          <w:sz w:val="24"/>
        </w:rPr>
        <w:t>Quand ai-je besoin d'une licence DJ ?</w:t>
      </w:r>
      <w:r>
        <w:rPr>
          <w:rFonts w:ascii="Times New Roman" w:hAnsi="Times New Roman"/>
          <w:sz w:val="24"/>
        </w:rPr>
        <w:t>Site Web sur INTERNET. &lt;https://www.unisono.be/fr/support/quand-ai-je-besoin-dune-licence-dj&gt;. Dernière consultation : le 10-10-2026.</w:t>
      </w:r>
    </w:p>
  </w:footnote>
  <w:footnote w:id="8">
    <w:p>
      <w:pPr>
        <w:pStyle w:val="FootnoteText"/>
        <w:rPr/>
      </w:pPr>
      <w:r>
        <w:rPr>
          <w:rStyle w:val="Caractresdenotedebasdepage"/>
        </w:rPr>
        <w:footnoteRef/>
      </w:r>
      <w:r>
        <w:rPr>
          <w:rFonts w:ascii="Times New Roman" w:hAnsi="Times New Roman"/>
          <w:sz w:val="24"/>
        </w:rPr>
        <w:t>OPENAI. 2026.</w:t>
      </w:r>
      <w:r>
        <w:rPr>
          <w:rFonts w:ascii="Times New Roman" w:hAnsi="Times New Roman"/>
          <w:i/>
          <w:sz w:val="24"/>
        </w:rPr>
        <w:t>ChatGPT</w:t>
      </w:r>
      <w:r>
        <w:rPr>
          <w:rFonts w:ascii="Times New Roman" w:hAnsi="Times New Roman"/>
          <w:sz w:val="24"/>
        </w:rPr>
        <w:t>. Site Web sur INTERNET. &lt;https://chatgpt.com/&gt;. Dernière consultation : le 10-10-2026.</w:t>
      </w:r>
    </w:p>
  </w:footnote>
  <w:footnote w:id="9">
    <w:p>
      <w:pPr>
        <w:pStyle w:val="FootnoteText"/>
        <w:rPr/>
      </w:pPr>
      <w:r>
        <w:rPr>
          <w:rStyle w:val="Caractresdenotedebasdepage"/>
        </w:rPr>
        <w:footnoteRef/>
      </w:r>
      <w:r>
        <w:rPr>
          <w:rFonts w:ascii="Times New Roman" w:hAnsi="Times New Roman"/>
          <w:sz w:val="24"/>
        </w:rPr>
        <w:t>STATBEL. 2026.</w:t>
      </w:r>
      <w:r>
        <w:rPr>
          <w:rFonts w:ascii="Times New Roman" w:hAnsi="Times New Roman"/>
          <w:i/>
          <w:sz w:val="24"/>
        </w:rPr>
        <w:t>Mariages</w:t>
      </w:r>
      <w:r>
        <w:rPr>
          <w:rFonts w:ascii="Times New Roman" w:hAnsi="Times New Roman"/>
          <w:sz w:val="24"/>
        </w:rPr>
        <w:t>. Site Web sur INTERNET. &lt;https://statbel.fgov.be/fr/themes/population/partenariat/mariages&gt;. Dernière consultation : le 10-10-2026.</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ckThinSmallGap" w:sz="24" w:space="1" w:color="833C0B" w:themeColor="accent2" w:themeShade="80"/>
      </w:pBdr>
      <w:jc w:val="center"/>
      <w:rPr>
        <w:rFonts w:ascii="Times New Roman" w:hAnsi="Times New Roman" w:eastAsia="" w:cs="Times New Roman" w:eastAsiaTheme="majorEastAsia"/>
        <w:b/>
        <w:sz w:val="28"/>
        <w:szCs w:val="32"/>
      </w:rPr>
    </w:pPr>
    <w:sdt>
      <w:sdtPr>
        <w:alias w:val="Titre"/>
        <w:id w:val="-1395188950"/>
        <w:placeholder>
          <w:docPart w:val="01BD6BD96D954B3EB2D1A46C20ED9EAB"/>
        </w:placeholder>
        <w:dataBinding w:prefixMappings="xmlns:ns0='http://schemas.openxmlformats.org/package/2006/metadata/core-properties' xmlns:ns1='http://purl.org/dc/elements/1.1/'" w:xpath="/ns0:coreProperties[1]/ns1:title[1]" w:storeItemID="{6C3C8BC8-F283-45AE-878A-BAB7291924A1}"/>
        <w:text/>
      </w:sdtPr>
      <w:sdtContent>
        <w:r>
          <w:rPr>
            <w:rFonts w:eastAsia="" w:cs="Times New Roman" w:ascii="Times New Roman" w:hAnsi="Times New Roman" w:eastAsiaTheme="majorEastAsia"/>
            <w:b/>
            <w:sz w:val="28"/>
            <w:szCs w:val="32"/>
          </w:rPr>
        </w:r>
        <w:r>
          <w:rPr>
            <w:rFonts w:eastAsia="" w:cs="Times New Roman" w:ascii="Times New Roman" w:hAnsi="Times New Roman" w:eastAsiaTheme="majorEastAsia"/>
            <w:b/>
            <w:sz w:val="28"/>
            <w:szCs w:val="32"/>
          </w:rPr>
          <w:t>GESTION DES PRESTATIONS DJ ET ANIMATION EVENEMENTIELLE</w:t>
        </w:r>
      </w:sdtContent>
    </w:sdt>
  </w:p>
  <w:p>
    <w:pPr>
      <w:pStyle w:val="Header"/>
      <w:rPr>
        <w:rFonts w:ascii="Times New Roman" w:hAnsi="Times New Roman" w:cs="Times New Roman"/>
        <w:b/>
        <w:sz w:val="22"/>
      </w:rPr>
    </w:pPr>
    <w:r>
      <w:rPr>
        <w:rFonts w:cs="Times New Roman" w:ascii="Times New Roman" w:hAnsi="Times New Roman"/>
        <w:b/>
        <w:sz w:val="22"/>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thickThinSmallGap" w:sz="24" w:space="1" w:color="833C0B" w:themeColor="accent2" w:themeShade="80"/>
      </w:pBdr>
      <w:jc w:val="center"/>
      <w:rPr>
        <w:rFonts w:ascii="Times New Roman" w:hAnsi="Times New Roman" w:eastAsia="" w:cs="Times New Roman" w:eastAsiaTheme="majorEastAsia"/>
        <w:b/>
        <w:sz w:val="28"/>
        <w:szCs w:val="32"/>
      </w:rPr>
    </w:pPr>
    <w:sdt>
      <w:sdtPr>
        <w:alias w:val="Titre"/>
        <w:id w:val="-1395188950"/>
        <w:placeholder>
          <w:docPart w:val="01BD6BD96D954B3EB2D1A46C20ED9EAB"/>
        </w:placeholder>
        <w:dataBinding w:prefixMappings="xmlns:ns0='http://schemas.openxmlformats.org/package/2006/metadata/core-properties' xmlns:ns1='http://purl.org/dc/elements/1.1/'" w:xpath="/ns0:coreProperties[1]/ns1:title[1]" w:storeItemID="{6C3C8BC8-F283-45AE-878A-BAB7291924A1}"/>
        <w:text/>
      </w:sdtPr>
      <w:sdtContent>
        <w:r>
          <w:rPr>
            <w:rFonts w:eastAsia="" w:cs="Times New Roman" w:ascii="Times New Roman" w:hAnsi="Times New Roman" w:eastAsiaTheme="majorEastAsia"/>
            <w:b/>
            <w:sz w:val="28"/>
            <w:szCs w:val="32"/>
          </w:rPr>
        </w:r>
        <w:r>
          <w:rPr>
            <w:rFonts w:eastAsia="" w:cs="Times New Roman" w:ascii="Times New Roman" w:hAnsi="Times New Roman" w:eastAsiaTheme="majorEastAsia"/>
            <w:b/>
            <w:sz w:val="28"/>
            <w:szCs w:val="32"/>
          </w:rPr>
          <w:t>GESTION DES PRESTATIONS DJ ET ANIMATION EVENEMENTIELLE</w:t>
        </w:r>
      </w:sdtContent>
    </w:sdt>
  </w:p>
  <w:p>
    <w:pPr>
      <w:pStyle w:val="Header"/>
      <w:rPr>
        <w:rFonts w:ascii="Times New Roman" w:hAnsi="Times New Roman" w:cs="Times New Roman"/>
        <w:b/>
        <w:sz w:val="22"/>
      </w:rPr>
    </w:pPr>
    <w:r>
      <w:rPr>
        <w:rFonts w:cs="Times New Roman" w:ascii="Times New Roman" w:hAnsi="Times New Roman"/>
        <w:b/>
        <w:sz w:val="22"/>
      </w:rPr>
    </w:r>
  </w:p>
</w:hdr>
</file>

<file path=word/settings.xml><?xml version="1.0" encoding="utf-8"?>
<w:settings xmlns:w="http://schemas.openxmlformats.org/wordprocessingml/2006/main">
  <w:zoom w:percent="113"/>
  <w:defaultTabStop w:val="709"/>
  <w:autoHyphenation w:val="true"/>
  <w:hyphenationZone w:val="425"/>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fr-BE" w:eastAsia="zh-CN"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start"/>
      <w:textAlignment w:val="baseline"/>
    </w:pPr>
    <w:rPr>
      <w:rFonts w:ascii="Liberation Serif" w:hAnsi="Liberation Serif" w:eastAsia="NSimSun" w:cs="Arial"/>
      <w:color w:val="auto"/>
      <w:kern w:val="2"/>
      <w:sz w:val="24"/>
      <w:szCs w:val="24"/>
      <w:lang w:val="fr-BE" w:eastAsia="zh-CN" w:bidi="hi-IN"/>
    </w:rPr>
  </w:style>
  <w:style w:type="paragraph" w:styleId="Heading1">
    <w:name w:val="heading 1"/>
    <w:basedOn w:val="Standard"/>
    <w:next w:val="Standard"/>
    <w:qFormat/>
    <w:pPr>
      <w:keepNext w:val="true"/>
      <w:keepLines/>
      <w:spacing w:before="480" w:after="120"/>
      <w:outlineLvl w:val="0"/>
    </w:pPr>
    <w:rPr>
      <w:rFonts w:ascii="Calibri" w:hAnsi="Calibri" w:eastAsia="MS Gothic" w:cs="F"/>
      <w:b/>
      <w:bCs/>
      <w:color w:val="365F91"/>
      <w:sz w:val="28"/>
      <w:szCs w:val="28"/>
    </w:rPr>
  </w:style>
  <w:style w:type="paragraph" w:styleId="Heading2">
    <w:name w:val="heading 2"/>
    <w:basedOn w:val="Titre"/>
    <w:next w:val="Textbody"/>
    <w:qFormat/>
    <w:pPr>
      <w:spacing w:before="200" w:after="120"/>
      <w:outlineLvl w:val="1"/>
    </w:pPr>
    <w:rPr>
      <w:rFonts w:ascii="Liberation Serif" w:hAnsi="Liberation Serif" w:eastAsia="NSimSun"/>
      <w:b/>
      <w:bCs/>
      <w:sz w:val="36"/>
      <w:szCs w:val="36"/>
    </w:rPr>
  </w:style>
  <w:style w:type="paragraph" w:styleId="Heading3">
    <w:name w:val="heading 3"/>
    <w:basedOn w:val="Titre"/>
    <w:next w:val="Textbody"/>
    <w:qFormat/>
    <w:pPr>
      <w:spacing w:before="140" w:after="120"/>
      <w:outlineLvl w:val="2"/>
    </w:pPr>
    <w:rPr>
      <w:rFonts w:ascii="Liberation Serif" w:hAnsi="Liberation Serif" w:eastAsia="NSimSun"/>
      <w:b/>
      <w:bCs/>
    </w:rPr>
  </w:style>
  <w:style w:type="character" w:styleId="DefaultParagraphFont" w:default="1">
    <w:name w:val="Default Paragraph Font"/>
    <w:uiPriority w:val="1"/>
    <w:semiHidden/>
    <w:unhideWhenUsed/>
    <w:qFormat/>
    <w:rPr/>
  </w:style>
  <w:style w:type="character" w:styleId="Caractresdenumrotation" w:customStyle="1">
    <w:name w:val="Caractères de numérotation"/>
    <w:qFormat/>
    <w:rPr/>
  </w:style>
  <w:style w:type="character" w:styleId="StrongEmphasis" w:customStyle="1">
    <w:name w:val="Strong Emphasis"/>
    <w:qFormat/>
    <w:rPr>
      <w:b/>
      <w:bCs/>
    </w:rPr>
  </w:style>
  <w:style w:type="character" w:styleId="Puces" w:customStyle="1">
    <w:name w:val="Puces"/>
    <w:qFormat/>
    <w:rPr>
      <w:rFonts w:ascii="OpenSymbol" w:hAnsi="OpenSymbol" w:eastAsia="OpenSymbol" w:cs="OpenSymbol"/>
    </w:rPr>
  </w:style>
  <w:style w:type="character" w:styleId="Internetlink" w:customStyle="1">
    <w:name w:val="Internet link"/>
    <w:qFormat/>
    <w:rPr>
      <w:color w:val="000080"/>
      <w:u w:val="single"/>
    </w:rPr>
  </w:style>
  <w:style w:type="character" w:styleId="En-tteCar" w:customStyle="1">
    <w:name w:val="En-tête Car"/>
    <w:basedOn w:val="DefaultParagraphFont"/>
    <w:uiPriority w:val="99"/>
    <w:qFormat/>
    <w:rsid w:val="00292bc8"/>
    <w:rPr>
      <w:rFonts w:cs="Mangal"/>
      <w:szCs w:val="21"/>
    </w:rPr>
  </w:style>
  <w:style w:type="character" w:styleId="PieddepageCar" w:customStyle="1">
    <w:name w:val="Pied de page Car"/>
    <w:basedOn w:val="DefaultParagraphFont"/>
    <w:uiPriority w:val="99"/>
    <w:qFormat/>
    <w:rsid w:val="00292bc8"/>
    <w:rPr>
      <w:rFonts w:cs="Mangal"/>
      <w:szCs w:val="21"/>
    </w:rPr>
  </w:style>
  <w:style w:type="character" w:styleId="NotedefinCar" w:customStyle="1">
    <w:name w:val="Note de fin Car"/>
    <w:basedOn w:val="DefaultParagraphFont"/>
    <w:uiPriority w:val="99"/>
    <w:semiHidden/>
    <w:qFormat/>
    <w:rsid w:val="00d169ef"/>
    <w:rPr>
      <w:rFonts w:cs="Mangal"/>
      <w:sz w:val="20"/>
      <w:szCs w:val="18"/>
    </w:rPr>
  </w:style>
  <w:style w:type="character" w:styleId="Caractresdenotedefin">
    <w:name w:val="Caractères de note de fin"/>
    <w:basedOn w:val="DefaultParagraphFont"/>
    <w:uiPriority w:val="99"/>
    <w:semiHidden/>
    <w:unhideWhenUsed/>
    <w:qFormat/>
    <w:rsid w:val="00d169ef"/>
    <w:rPr>
      <w:vertAlign w:val="superscript"/>
    </w:rPr>
  </w:style>
  <w:style w:type="character" w:styleId="EndnoteReference">
    <w:name w:val="endnote reference"/>
    <w:rPr>
      <w:vertAlign w:val="superscript"/>
    </w:rPr>
  </w:style>
  <w:style w:type="character" w:styleId="NotedebasdepageCar" w:customStyle="1">
    <w:name w:val="Note de bas de page Car"/>
    <w:basedOn w:val="DefaultParagraphFont"/>
    <w:uiPriority w:val="99"/>
    <w:semiHidden/>
    <w:qFormat/>
    <w:rsid w:val="00d169ef"/>
    <w:rPr>
      <w:rFonts w:cs="Mangal"/>
      <w:sz w:val="20"/>
      <w:szCs w:val="18"/>
    </w:rPr>
  </w:style>
  <w:style w:type="character" w:styleId="Caractresdenotedebasdepage">
    <w:name w:val="Caractères de note de bas de page"/>
    <w:basedOn w:val="DefaultParagraphFont"/>
    <w:uiPriority w:val="99"/>
    <w:semiHidden/>
    <w:unhideWhenUsed/>
    <w:qFormat/>
    <w:rsid w:val="00d169ef"/>
    <w:rPr>
      <w:vertAlign w:val="superscript"/>
    </w:rPr>
  </w:style>
  <w:style w:type="character" w:styleId="FootnoteReference">
    <w:name w:val="footnote reference"/>
    <w:rPr>
      <w:vertAlign w:val="superscript"/>
    </w:rPr>
  </w:style>
  <w:style w:type="character" w:styleId="Hyperlink">
    <w:name w:val="Hyperlink"/>
    <w:basedOn w:val="DefaultParagraphFont"/>
    <w:uiPriority w:val="99"/>
    <w:unhideWhenUsed/>
    <w:rsid w:val="007d5c8d"/>
    <w:rPr>
      <w:color w:themeColor="hyperlink" w:val="0563C1"/>
      <w:u w:val="single"/>
    </w:rPr>
  </w:style>
  <w:style w:type="paragraph" w:styleId="Titre" w:customStyle="1">
    <w:name w:val="Titre"/>
    <w:basedOn w:val="Standard"/>
    <w:next w:val="Textbody"/>
    <w:qFormat/>
    <w:pPr>
      <w:keepNext w:val="true"/>
      <w:spacing w:before="240" w:after="120"/>
    </w:pPr>
    <w:rPr>
      <w:rFonts w:ascii="Liberation Sans" w:hAnsi="Liberation Sans" w:eastAsia="Microsoft YaHei"/>
      <w:sz w:val="28"/>
      <w:szCs w:val="28"/>
    </w:rPr>
  </w:style>
  <w:style w:type="paragraph" w:styleId="BodyText">
    <w:name w:val="Body Text"/>
    <w:basedOn w:val="Normal"/>
    <w:pPr>
      <w:spacing w:lineRule="auto" w:line="276" w:before="0" w:after="140"/>
    </w:pPr>
    <w:rPr/>
  </w:style>
  <w:style w:type="paragraph" w:styleId="List">
    <w:name w:val="List"/>
    <w:basedOn w:val="Textbody"/>
    <w:pPr/>
    <w:rPr/>
  </w:style>
  <w:style w:type="paragraph" w:styleId="Caption">
    <w:name w:val="caption"/>
    <w:basedOn w:val="Standard"/>
    <w:qFormat/>
    <w:pPr>
      <w:suppressLineNumbers/>
      <w:spacing w:before="120" w:after="120"/>
    </w:pPr>
    <w:rPr>
      <w:i/>
      <w:iCs/>
    </w:rPr>
  </w:style>
  <w:style w:type="paragraph" w:styleId="Index" w:customStyle="1">
    <w:name w:val="Index"/>
    <w:basedOn w:val="Standard"/>
    <w:qFormat/>
    <w:pPr>
      <w:suppressLineNumbers/>
    </w:pPr>
    <w:rPr/>
  </w:style>
  <w:style w:type="paragraph" w:styleId="Standard" w:customStyle="1">
    <w:name w:val="Standard"/>
    <w:qFormat/>
    <w:pPr>
      <w:widowControl/>
      <w:suppressAutoHyphens w:val="true"/>
      <w:bidi w:val="0"/>
      <w:spacing w:before="0" w:after="0"/>
      <w:jc w:val="start"/>
      <w:textAlignment w:val="baseline"/>
    </w:pPr>
    <w:rPr>
      <w:rFonts w:ascii="Liberation Serif" w:hAnsi="Liberation Serif" w:eastAsia="NSimSun" w:cs="Arial"/>
      <w:color w:val="auto"/>
      <w:kern w:val="2"/>
      <w:sz w:val="24"/>
      <w:szCs w:val="24"/>
      <w:lang w:val="fr-BE" w:eastAsia="zh-CN" w:bidi="hi-IN"/>
    </w:rPr>
  </w:style>
  <w:style w:type="paragraph" w:styleId="Textbody" w:customStyle="1">
    <w:name w:val="Text body"/>
    <w:basedOn w:val="Standard"/>
    <w:qFormat/>
    <w:pPr>
      <w:spacing w:lineRule="auto" w:line="276" w:before="0" w:after="140"/>
    </w:pPr>
    <w:rPr/>
  </w:style>
  <w:style w:type="paragraph" w:styleId="Lignehorizontale" w:customStyle="1">
    <w:name w:val="Ligne horizontale"/>
    <w:basedOn w:val="Standard"/>
    <w:next w:val="Textbody"/>
    <w:qFormat/>
    <w:pPr>
      <w:suppressLineNumbers/>
      <w:spacing w:before="0" w:after="283"/>
    </w:pPr>
    <w:rPr>
      <w:sz w:val="12"/>
      <w:szCs w:val="12"/>
    </w:rPr>
  </w:style>
  <w:style w:type="paragraph" w:styleId="En-tteetpieddepage">
    <w:name w:val="En-tête et pied de page"/>
    <w:basedOn w:val="Normal"/>
    <w:qFormat/>
    <w:pPr/>
    <w:rPr/>
  </w:style>
  <w:style w:type="paragraph" w:styleId="Header">
    <w:name w:val="header"/>
    <w:basedOn w:val="Normal"/>
    <w:link w:val="En-tteCar"/>
    <w:uiPriority w:val="99"/>
    <w:unhideWhenUsed/>
    <w:rsid w:val="00292bc8"/>
    <w:pPr>
      <w:tabs>
        <w:tab w:val="clear" w:pos="709"/>
        <w:tab w:val="center" w:pos="4536" w:leader="none"/>
        <w:tab w:val="right" w:pos="9072" w:leader="none"/>
      </w:tabs>
    </w:pPr>
    <w:rPr>
      <w:rFonts w:cs="Mangal"/>
      <w:szCs w:val="21"/>
    </w:rPr>
  </w:style>
  <w:style w:type="paragraph" w:styleId="Footer">
    <w:name w:val="footer"/>
    <w:basedOn w:val="Normal"/>
    <w:link w:val="PieddepageCar"/>
    <w:uiPriority w:val="99"/>
    <w:unhideWhenUsed/>
    <w:rsid w:val="00292bc8"/>
    <w:pPr>
      <w:tabs>
        <w:tab w:val="clear" w:pos="709"/>
        <w:tab w:val="center" w:pos="4536" w:leader="none"/>
        <w:tab w:val="right" w:pos="9072" w:leader="none"/>
      </w:tabs>
    </w:pPr>
    <w:rPr>
      <w:rFonts w:cs="Mangal"/>
      <w:szCs w:val="21"/>
    </w:rPr>
  </w:style>
  <w:style w:type="paragraph" w:styleId="EndnoteText">
    <w:name w:val="endnote text"/>
    <w:basedOn w:val="Normal"/>
    <w:link w:val="NotedefinCar"/>
    <w:uiPriority w:val="99"/>
    <w:semiHidden/>
    <w:unhideWhenUsed/>
    <w:rsid w:val="00d169ef"/>
    <w:pPr/>
    <w:rPr>
      <w:rFonts w:cs="Mangal"/>
      <w:sz w:val="20"/>
      <w:szCs w:val="18"/>
    </w:rPr>
  </w:style>
  <w:style w:type="paragraph" w:styleId="FootnoteText">
    <w:name w:val="footnote text"/>
    <w:basedOn w:val="Normal"/>
    <w:link w:val="NotedebasdepageCar"/>
    <w:uiPriority w:val="99"/>
    <w:semiHidden/>
    <w:unhideWhenUsed/>
    <w:rsid w:val="00d169ef"/>
    <w:pPr/>
    <w:rPr>
      <w:rFonts w:cs="Mangal"/>
      <w:sz w:val="20"/>
      <w:szCs w:val="18"/>
    </w:rPr>
  </w:style>
  <w:style w:type="paragraph" w:styleId="TOC1">
    <w:name w:val="toc 1"/>
    <w:basedOn w:val="Normal"/>
    <w:next w:val="Normal"/>
    <w:autoRedefine/>
    <w:uiPriority w:val="39"/>
    <w:unhideWhenUsed/>
    <w:rsid w:val="00323348"/>
    <w:pPr>
      <w:spacing w:before="0" w:after="100"/>
    </w:pPr>
    <w:rPr>
      <w:rFonts w:cs="Mangal"/>
      <w:szCs w:val="21"/>
    </w:rPr>
  </w:style>
  <w:style w:type="paragraph" w:styleId="TOC3">
    <w:name w:val="toc 3"/>
    <w:basedOn w:val="Normal"/>
    <w:next w:val="Normal"/>
    <w:autoRedefine/>
    <w:uiPriority w:val="39"/>
    <w:unhideWhenUsed/>
    <w:rsid w:val="00323348"/>
    <w:pPr>
      <w:spacing w:before="0" w:after="100"/>
      <w:ind w:start="480"/>
    </w:pPr>
    <w:rPr>
      <w:rFonts w:cs="Mangal"/>
      <w:szCs w:val="21"/>
    </w:rPr>
  </w:style>
  <w:style w:type="paragraph" w:styleId="TOC2">
    <w:name w:val="toc 2"/>
    <w:basedOn w:val="Normal"/>
    <w:next w:val="Normal"/>
    <w:autoRedefine/>
    <w:uiPriority w:val="39"/>
    <w:unhideWhenUsed/>
    <w:rsid w:val="00323348"/>
    <w:pPr>
      <w:spacing w:before="0" w:after="100"/>
      <w:ind w:start="240"/>
    </w:pPr>
    <w:rPr>
      <w:rFonts w:cs="Mangal"/>
      <w:szCs w:val="21"/>
    </w:rPr>
  </w:style>
  <w:style w:type="paragraph" w:styleId="Contenudecadre">
    <w:name w:val="Contenu de cadre"/>
    <w:basedOn w:val="Normal"/>
    <w:qFormat/>
    <w:pPr/>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4.xml"/><Relationship Id="rId9" Type="http://schemas.openxmlformats.org/officeDocument/2006/relationships/footer" Target="footer5.xml"/><Relationship Id="rId10" Type="http://schemas.openxmlformats.org/officeDocument/2006/relationships/footer" Target="footer6.xml"/><Relationship Id="rId11" Type="http://schemas.openxmlformats.org/officeDocument/2006/relationships/footnotes" Target="footnotes.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glossaryDocument" Target="glossary/document.xml"/><Relationship Id="rId16" Type="http://schemas.openxmlformats.org/officeDocument/2006/relationships/customXml" Target="../customXml/item1.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01BD6BD96D954B3EB2D1A46C20ED9EAB"/>
        <w:category>
          <w:name w:val="Général"/>
          <w:gallery w:val="placeholder"/>
        </w:category>
        <w:types>
          <w:type w:val="bbPlcHdr"/>
        </w:types>
        <w:behaviors>
          <w:behavior w:val="content"/>
        </w:behaviors>
        <w:guid w:val="{2FE37C0C-B9AE-407B-8C6F-2522ECD4BF31}"/>
      </w:docPartPr>
      <w:docPartBody>
        <w:p w:rsidR="003A04BC" w:rsidRDefault="007848F7" w:rsidP="007848F7">
          <w:pPr>
            <w:pStyle w:val="01BD6BD96D954B3EB2D1A46C20ED9EAB"/>
          </w:pPr>
          <w:r>
            <w:rPr>
              <w:rFonts w:asciiTheme="majorHAnsi" w:eastAsiaTheme="majorEastAsia" w:hAnsiTheme="majorHAnsi" w:cstheme="majorBidi"/>
              <w:sz w:val="32"/>
              <w:szCs w:val="32"/>
            </w:rPr>
            <w:t>[Tapez le titre du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charset w:val="02"/>
    <w:family w:val="auto"/>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0000012" w:usb3="00000000" w:csb0="0002009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F">
    <w:charset w:val="00"/>
    <w:family w:val="auto"/>
    <w:pitch w:val="variable"/>
  </w:font>
  <w:font w:name="Liberation Sans">
    <w:altName w:val="Arial"/>
    <w:charset w:val="00"/>
    <w:family w:val="swiss"/>
    <w:pitch w:val="variable"/>
  </w:font>
  <w:font w:name="Microsoft YaHei">
    <w:panose1 w:val="020B0503020204020204"/>
    <w:charset w:val="86"/>
    <w:family w:val="swiss"/>
    <w:pitch w:val="variable"/>
    <w:sig w:usb0="80000287" w:usb1="280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Arial Black">
    <w:panose1 w:val="020B0A04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comment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48F7"/>
    <w:rsid w:val="00146412"/>
    <w:rsid w:val="003A04BC"/>
    <w:rsid w:val="005D2EB9"/>
    <w:rsid w:val="007848F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D52E7EE816841B1AF2FABDCED73BCF2">
    <w:name w:val="4D52E7EE816841B1AF2FABDCED73BCF2"/>
    <w:rsid w:val="007848F7"/>
  </w:style>
  <w:style w:type="paragraph" w:customStyle="1" w:styleId="01BD6BD96D954B3EB2D1A46C20ED9EAB">
    <w:name w:val="01BD6BD96D954B3EB2D1A46C20ED9EAB"/>
    <w:rsid w:val="007848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642E29-4756-43F7-AA2B-972A6DCAF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Application>LibreOffice/26.2.6.3$Windows_X86_64 LibreOffice_project/8221e31b3ac356a1623c672912a3d2b492f7e3d1</Application>
  <AppVersion>15.0000</AppVersion>
  <Pages>14</Pages>
  <Words>3273</Words>
  <Characters>19468</Characters>
  <CharactersWithSpaces>22413</CharactersWithSpaces>
  <Paragraphs>329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2013-01-05T13:42:00Z</dcterms:created>
  <dc:creator>DOLIANE</dc:creator>
  <dc:description/>
  <dc:language>fr-BE</dc:language>
  <cp:lastModifiedBy/>
  <cp:lastPrinted>2013-01-06T10:57:00Z</cp:lastPrinted>
  <dcterms:modified xsi:type="dcterms:W3CDTF">2026-10-11T08:36:50Z</dcterms:modified>
  <cp:revision>41</cp:revision>
  <dc:subject/>
  <dc:title>GESTION DES PRESTATIONS DJ ET ANIMATION EVENEMENTIELLE</dc:title>
</cp:coreProperties>
</file>

<file path=docProps/custom.xml><?xml version="1.0" encoding="utf-8"?>
<Properties xmlns="http://schemas.openxmlformats.org/officeDocument/2006/custom-properties" xmlns:vt="http://schemas.openxmlformats.org/officeDocument/2006/docPropsVTypes"/>
</file>