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4AEE" w:rsidRPr="00284AEE" w:rsidRDefault="00284AEE" w:rsidP="00284AEE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284AEE">
        <w:rPr>
          <w:rFonts w:ascii="Times New Roman" w:hAnsi="Times New Roman" w:cs="Times New Roman"/>
          <w:b/>
          <w:sz w:val="24"/>
        </w:rPr>
        <w:t>Highlights:</w:t>
      </w:r>
    </w:p>
    <w:p w:rsidR="009D66C6" w:rsidRPr="009D66C6" w:rsidRDefault="009D66C6" w:rsidP="009D66C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9D66C6">
        <w:rPr>
          <w:rFonts w:ascii="Times New Roman" w:hAnsi="Times New Roman" w:cs="Times New Roman"/>
          <w:sz w:val="24"/>
        </w:rPr>
        <w:t>Technical parameters of the ETRSS-1 satellite system</w:t>
      </w:r>
      <w:r>
        <w:rPr>
          <w:rFonts w:ascii="Times New Roman" w:hAnsi="Times New Roman" w:cs="Times New Roman"/>
          <w:sz w:val="24"/>
        </w:rPr>
        <w:t>.</w:t>
      </w:r>
    </w:p>
    <w:p w:rsidR="009D66C6" w:rsidRPr="009D66C6" w:rsidRDefault="009D66C6" w:rsidP="009D66C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9D66C6">
        <w:rPr>
          <w:rFonts w:ascii="Times New Roman" w:hAnsi="Times New Roman" w:cs="Times New Roman"/>
          <w:sz w:val="24"/>
        </w:rPr>
        <w:t>The ETRSS-1 spacecraft platform bus</w:t>
      </w:r>
      <w:r>
        <w:rPr>
          <w:rFonts w:ascii="Times New Roman" w:hAnsi="Times New Roman" w:cs="Times New Roman"/>
          <w:sz w:val="24"/>
        </w:rPr>
        <w:t>.</w:t>
      </w:r>
    </w:p>
    <w:p w:rsidR="009D66C6" w:rsidRPr="009D66C6" w:rsidRDefault="009D66C6" w:rsidP="009D66C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9D66C6">
        <w:rPr>
          <w:rFonts w:ascii="Times New Roman" w:hAnsi="Times New Roman" w:cs="Times New Roman"/>
          <w:sz w:val="24"/>
        </w:rPr>
        <w:t>The AOCS on the ETRSS-1 satellite operate in six modes</w:t>
      </w:r>
      <w:r>
        <w:rPr>
          <w:rFonts w:ascii="Times New Roman" w:hAnsi="Times New Roman" w:cs="Times New Roman"/>
          <w:sz w:val="24"/>
        </w:rPr>
        <w:t>.</w:t>
      </w:r>
    </w:p>
    <w:p w:rsidR="009D66C6" w:rsidRPr="009D66C6" w:rsidRDefault="009D66C6" w:rsidP="009D66C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9D66C6">
        <w:rPr>
          <w:rFonts w:ascii="Times New Roman" w:hAnsi="Times New Roman" w:cs="Times New Roman"/>
          <w:sz w:val="24"/>
        </w:rPr>
        <w:t>Malfunctions are classified into four major categories based on their impact on the ETRSS-1 satellite</w:t>
      </w:r>
      <w:r>
        <w:rPr>
          <w:rFonts w:ascii="Times New Roman" w:hAnsi="Times New Roman" w:cs="Times New Roman"/>
          <w:sz w:val="24"/>
        </w:rPr>
        <w:t>.</w:t>
      </w:r>
    </w:p>
    <w:p w:rsidR="006D4658" w:rsidRPr="00792B8B" w:rsidRDefault="009D66C6" w:rsidP="009D66C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9D66C6">
        <w:rPr>
          <w:rFonts w:ascii="Times New Roman" w:hAnsi="Times New Roman" w:cs="Times New Roman"/>
          <w:sz w:val="24"/>
        </w:rPr>
        <w:t>The ETRSS-1 optical camera payload is made up of two major parts</w:t>
      </w:r>
      <w:r>
        <w:rPr>
          <w:rFonts w:ascii="Times New Roman" w:hAnsi="Times New Roman" w:cs="Times New Roman"/>
          <w:sz w:val="24"/>
        </w:rPr>
        <w:t>.</w:t>
      </w:r>
      <w:bookmarkStart w:id="0" w:name="_GoBack"/>
      <w:bookmarkEnd w:id="0"/>
    </w:p>
    <w:sectPr w:rsidR="006D4658" w:rsidRPr="00792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6771A"/>
    <w:multiLevelType w:val="hybridMultilevel"/>
    <w:tmpl w:val="EEE2E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AEE"/>
    <w:rsid w:val="00284AEE"/>
    <w:rsid w:val="006D4658"/>
    <w:rsid w:val="00792B8B"/>
    <w:rsid w:val="009D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C17EB"/>
  <w15:chartTrackingRefBased/>
  <w15:docId w15:val="{240BEFA4-30FB-4D09-B2BB-068E4D3F8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A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ASCL</dc:creator>
  <cp:keywords/>
  <dc:description/>
  <cp:lastModifiedBy>ASCL</cp:lastModifiedBy>
  <cp:revision>3</cp:revision>
  <dcterms:created xsi:type="dcterms:W3CDTF">2023-05-24T10:05:00Z</dcterms:created>
  <dcterms:modified xsi:type="dcterms:W3CDTF">2023-05-31T09:45:00Z</dcterms:modified>
</cp:coreProperties>
</file>