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KARIOS CubeSat — Orbital Dynamics and Coverage Analysis</w:t>
      </w:r>
    </w:p>
    <w:p>
      <w:r>
        <w:rPr>
          <w:b w:val="0"/>
          <w:i/>
        </w:rPr>
        <w:t>Pre-Launch Orbit Design, Simulation, and Verification using STK (Systems Tool Kit)</w:t>
      </w:r>
    </w:p>
    <w:p>
      <w:r>
        <w:rPr>
          <w:b w:val="0"/>
          <w:i w:val="0"/>
        </w:rPr>
        <w:t>Verification method: Analysis (A) — ref. ECSS-E-ST-10 life-cycle standard and the KARIOS MBSE verification framework. This section demonstrates, by analysis, that the KARIOS design orbit satisfies the mission coverage, lighting, contact, and disposal requirements across the realistic launch-injection envelope.</w:t>
      </w:r>
    </w:p>
    <w:p>
      <w:pPr>
        <w:pStyle w:val="Heading1"/>
      </w:pPr>
      <w:r>
        <w:rPr>
          <w:color w:val="1F4E79"/>
        </w:rPr>
        <w:t>1. Reference Orbit Definition</w:t>
      </w:r>
    </w:p>
    <w:p>
      <w:r>
        <w:rPr>
          <w:b w:val="0"/>
          <w:i w:val="0"/>
        </w:rPr>
        <w:t>The KARIOS design orbit is derived from the CAS500-3 (차세대중형위성3호, NORAD ID 66655) rideshare heritage two-line element set. The nominal osculating/mean elements adopted for pre-launch simulation are: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Element</w:t>
            </w:r>
          </w:p>
        </w:tc>
        <w:tc>
          <w:tcPr>
            <w:tcW w:type="dxa" w:w="2880"/>
          </w:tcPr>
          <w:p>
            <w:r/>
            <w:r>
              <w:rPr>
                <w:b/>
              </w:rPr>
              <w:t>Value</w:t>
            </w:r>
          </w:p>
        </w:tc>
        <w:tc>
          <w:tcPr>
            <w:tcW w:type="dxa" w:w="2880"/>
          </w:tcPr>
          <w:p>
            <w:r/>
            <w:r>
              <w:rPr>
                <w:b/>
              </w:rPr>
              <w:t>Notes</w:t>
            </w:r>
          </w:p>
        </w:tc>
      </w:tr>
      <w:tr>
        <w:tc>
          <w:tcPr>
            <w:tcW w:type="dxa" w:w="2880"/>
          </w:tcPr>
          <w:p>
            <w:r>
              <w:t>Orbit regime</w:t>
            </w:r>
          </w:p>
        </w:tc>
        <w:tc>
          <w:tcPr>
            <w:tcW w:type="dxa" w:w="2880"/>
          </w:tcPr>
          <w:p>
            <w:r>
              <w:t>Sun-Synchronous (SSO), near-circular</w:t>
            </w:r>
          </w:p>
        </w:tc>
        <w:tc>
          <w:tcPr>
            <w:tcW w:type="dxa" w:w="2880"/>
          </w:tcPr>
          <w:p>
            <w:r>
              <w:t>Frozen orbit design</w:t>
            </w:r>
          </w:p>
        </w:tc>
      </w:tr>
      <w:tr>
        <w:tc>
          <w:tcPr>
            <w:tcW w:type="dxa" w:w="2880"/>
          </w:tcPr>
          <w:p>
            <w:r>
              <w:t>Mean altitude</w:t>
            </w:r>
          </w:p>
        </w:tc>
        <w:tc>
          <w:tcPr>
            <w:tcW w:type="dxa" w:w="2880"/>
          </w:tcPr>
          <w:p>
            <w:r>
              <w:t>~550 km</w:t>
            </w:r>
          </w:p>
        </w:tc>
        <w:tc>
          <w:tcPr>
            <w:tcW w:type="dxa" w:w="2880"/>
          </w:tcPr>
          <w:p>
            <w:r>
              <w:t>Derived from reference TLE</w:t>
            </w:r>
          </w:p>
        </w:tc>
      </w:tr>
      <w:tr>
        <w:tc>
          <w:tcPr>
            <w:tcW w:type="dxa" w:w="2880"/>
          </w:tcPr>
          <w:p>
            <w:r>
              <w:t>Inclination</w:t>
            </w:r>
          </w:p>
        </w:tc>
        <w:tc>
          <w:tcPr>
            <w:tcW w:type="dxa" w:w="2880"/>
          </w:tcPr>
          <w:p>
            <w:r>
              <w:t>97.7444 deg</w:t>
            </w:r>
          </w:p>
        </w:tc>
        <w:tc>
          <w:tcPr>
            <w:tcW w:type="dxa" w:w="2880"/>
          </w:tcPr>
          <w:p>
            <w:r>
              <w:t>SSO-consistent at this altitude</w:t>
            </w:r>
          </w:p>
        </w:tc>
      </w:tr>
      <w:tr>
        <w:tc>
          <w:tcPr>
            <w:tcW w:type="dxa" w:w="2880"/>
          </w:tcPr>
          <w:p>
            <w:r>
              <w:t>RAAN</w:t>
            </w:r>
          </w:p>
        </w:tc>
        <w:tc>
          <w:tcPr>
            <w:tcW w:type="dxa" w:w="2880"/>
          </w:tcPr>
          <w:p>
            <w:r>
              <w:t>108.1576 deg</w:t>
            </w:r>
          </w:p>
        </w:tc>
        <w:tc>
          <w:tcPr>
            <w:tcW w:type="dxa" w:w="2880"/>
          </w:tcPr>
          <w:p>
            <w:r>
              <w:t>Sets Local Time of Ascending Node (LTAN)</w:t>
            </w:r>
          </w:p>
        </w:tc>
      </w:tr>
      <w:tr>
        <w:tc>
          <w:tcPr>
            <w:tcW w:type="dxa" w:w="2880"/>
          </w:tcPr>
          <w:p>
            <w:r>
              <w:t>Eccentricity</w:t>
            </w:r>
          </w:p>
        </w:tc>
        <w:tc>
          <w:tcPr>
            <w:tcW w:type="dxa" w:w="2880"/>
          </w:tcPr>
          <w:p>
            <w:r>
              <w:t>0.0006955</w:t>
            </w:r>
          </w:p>
        </w:tc>
        <w:tc>
          <w:tcPr>
            <w:tcW w:type="dxa" w:w="2880"/>
          </w:tcPr>
          <w:p>
            <w:r>
              <w:t>Near-circular</w:t>
            </w:r>
          </w:p>
        </w:tc>
      </w:tr>
      <w:tr>
        <w:tc>
          <w:tcPr>
            <w:tcW w:type="dxa" w:w="2880"/>
          </w:tcPr>
          <w:p>
            <w:r>
              <w:t>Argument of Perigee</w:t>
            </w:r>
          </w:p>
        </w:tc>
        <w:tc>
          <w:tcPr>
            <w:tcW w:type="dxa" w:w="2880"/>
          </w:tcPr>
          <w:p>
            <w:r>
              <w:t>79.2781 deg</w:t>
            </w:r>
          </w:p>
        </w:tc>
        <w:tc>
          <w:tcPr>
            <w:tcW w:type="dxa" w:w="2880"/>
          </w:tcPr>
          <w:p>
            <w:r>
              <w:t>Frozen-orbit phasing</w:t>
            </w:r>
          </w:p>
        </w:tc>
      </w:tr>
      <w:tr>
        <w:tc>
          <w:tcPr>
            <w:tcW w:type="dxa" w:w="2880"/>
          </w:tcPr>
          <w:p>
            <w:r>
              <w:t>Mean Anomaly</w:t>
            </w:r>
          </w:p>
        </w:tc>
        <w:tc>
          <w:tcPr>
            <w:tcW w:type="dxa" w:w="2880"/>
          </w:tcPr>
          <w:p>
            <w:r>
              <w:t>280.9219 deg</w:t>
            </w:r>
          </w:p>
        </w:tc>
        <w:tc>
          <w:tcPr>
            <w:tcW w:type="dxa" w:w="2880"/>
          </w:tcPr>
          <w:p>
            <w:r>
              <w:t>Epoch phasing</w:t>
            </w:r>
          </w:p>
        </w:tc>
      </w:tr>
      <w:tr>
        <w:tc>
          <w:tcPr>
            <w:tcW w:type="dxa" w:w="2880"/>
          </w:tcPr>
          <w:p>
            <w:r>
              <w:t>Orbital Period</w:t>
            </w:r>
          </w:p>
        </w:tc>
        <w:tc>
          <w:tcPr>
            <w:tcW w:type="dxa" w:w="2880"/>
          </w:tcPr>
          <w:p>
            <w:r>
              <w:t>96.75 min</w:t>
            </w:r>
          </w:p>
        </w:tc>
        <w:tc>
          <w:tcPr>
            <w:tcW w:type="dxa" w:w="2880"/>
          </w:tcPr>
          <w:p>
            <w:r/>
          </w:p>
        </w:tc>
      </w:tr>
      <w:tr>
        <w:tc>
          <w:tcPr>
            <w:tcW w:type="dxa" w:w="2880"/>
          </w:tcPr>
          <w:p>
            <w:r>
              <w:t>Mean Motion</w:t>
            </w:r>
          </w:p>
        </w:tc>
        <w:tc>
          <w:tcPr>
            <w:tcW w:type="dxa" w:w="2880"/>
          </w:tcPr>
          <w:p>
            <w:r>
              <w:t>14.88 rev/day</w:t>
            </w:r>
          </w:p>
        </w:tc>
        <w:tc>
          <w:tcPr>
            <w:tcW w:type="dxa" w:w="2880"/>
          </w:tcPr>
          <w:p>
            <w:r/>
          </w:p>
        </w:tc>
      </w:tr>
      <w:tr>
        <w:tc>
          <w:tcPr>
            <w:tcW w:type="dxa" w:w="2880"/>
          </w:tcPr>
          <w:p>
            <w:r>
              <w:t>Heritage reference</w:t>
            </w:r>
          </w:p>
        </w:tc>
        <w:tc>
          <w:tcPr>
            <w:tcW w:type="dxa" w:w="2880"/>
          </w:tcPr>
          <w:p>
            <w:r>
              <w:t>CAS500-3 TLE (2025-11-27 / 2026-06-29)</w:t>
            </w:r>
          </w:p>
        </w:tc>
        <w:tc>
          <w:tcPr>
            <w:tcW w:type="dxa" w:w="2880"/>
          </w:tcPr>
          <w:p>
            <w:r>
              <w:t>Rideshare cluster reference</w:t>
            </w:r>
          </w:p>
        </w:tc>
      </w:tr>
    </w:tbl>
    <w:p>
      <w:r>
        <w:rPr>
          <w:b/>
          <w:i w:val="0"/>
        </w:rPr>
        <w:t>Critical validation: The SSO inclination for a 550 km circular orbit is approximately 97.6 deg. The adopted 97.7444 deg originates from the reference TLE (slightly different mean altitude). Before any downstream analysis, the nodal precession rate must be confirmed in STK to equal +0.9856 deg/day (360 deg / 365.25 days). If it does not, the orbit is not truly sun-synchronous and all lighting and coverage conclusions are invalid.</w:t>
      </w:r>
    </w:p>
    <w:p>
      <w:pPr>
        <w:pStyle w:val="Heading1"/>
      </w:pPr>
      <w:r>
        <w:rPr>
          <w:color w:val="1F4E79"/>
        </w:rPr>
        <w:t>2. STK Scenario Setup</w:t>
      </w:r>
    </w:p>
    <w:p>
      <w:pPr>
        <w:pStyle w:val="ListNumber"/>
      </w:pPr>
      <w:r>
        <w:t>Create a new scenario. Set the analysis period to at least one full repeat-ground-track cycle plus margin (&gt;= 31 days) to capture LTAN drift, eclipse-season variation, and coverage statistics. Use a separate multi-year scenario for lifetime/decay.</w:t>
      </w:r>
    </w:p>
    <w:p>
      <w:pPr>
        <w:pStyle w:val="ListNumber"/>
      </w:pPr>
      <w:r>
        <w:t>Set the scenario epoch to the planned launch/commissioning epoch (not the raw TLE epoch) so lighting and RAAN geometry are physically correct at launch.</w:t>
      </w:r>
    </w:p>
    <w:p>
      <w:pPr>
        <w:pStyle w:val="ListNumber"/>
      </w:pPr>
      <w:r>
        <w:t>Work in J2000 for elements; report ground tracks in Earth-fixed (ECEF). Time in UTCG.</w:t>
      </w:r>
    </w:p>
    <w:p>
      <w:pPr>
        <w:pStyle w:val="ListNumber"/>
      </w:pPr>
      <w:r>
        <w:t>Central body: Earth, WGS84 ellipsoid.</w:t>
      </w:r>
    </w:p>
    <w:p>
      <w:pPr>
        <w:pStyle w:val="Heading1"/>
      </w:pPr>
      <w:r>
        <w:rPr>
          <w:color w:val="1F4E79"/>
        </w:rPr>
        <w:t>3. Build KARIOS — Three Parallel Orbit Definitions</w:t>
      </w:r>
    </w:p>
    <w:p>
      <w:r>
        <w:rPr>
          <w:b w:val="0"/>
          <w:i w:val="0"/>
        </w:rPr>
        <w:t>Define the same orbit three ways and confirm convergence. Disagreement is the earliest and most reliable error detector.</w:t>
      </w:r>
    </w:p>
    <w:p>
      <w:pPr>
        <w:pStyle w:val="Heading2"/>
      </w:pPr>
      <w:r>
        <w:rPr>
          <w:color w:val="1F4E79"/>
        </w:rPr>
        <w:t>3.1  From the CAS500-3 TLE (heritage truth reference)</w:t>
      </w:r>
    </w:p>
    <w:p>
      <w:pPr>
        <w:pStyle w:val="ListBullet"/>
      </w:pPr>
      <w:r>
        <w:t>Insert Satellite -&gt; Propagator: SGP4. Load NORAD 66655 TLE.</w:t>
      </w:r>
    </w:p>
    <w:p>
      <w:pPr>
        <w:pStyle w:val="ListBullet"/>
      </w:pPr>
      <w:r>
        <w:t>Use the latest TLE (2026-06-29) for current state; launch-day TLE (2025-11-27) for as-deployed conditions. This is the ground truth for the cluster and phasing.</w:t>
      </w:r>
    </w:p>
    <w:p>
      <w:pPr>
        <w:pStyle w:val="Heading2"/>
      </w:pPr>
      <w:r>
        <w:rPr>
          <w:color w:val="1F4E79"/>
        </w:rPr>
        <w:t>3.2  From Keplerian elements (design orbit)</w:t>
      </w:r>
    </w:p>
    <w:p>
      <w:pPr>
        <w:pStyle w:val="ListBullet"/>
      </w:pPr>
      <w:r>
        <w:t>New satellite -&gt; Propagator: J2Perturbation for a fast sanity check, then HPOP (Section 4).</w:t>
      </w:r>
    </w:p>
    <w:p>
      <w:pPr>
        <w:pStyle w:val="ListBullet"/>
      </w:pPr>
      <w:r>
        <w:t>Enter the six elements from Table 1 using Mean (Brouwer-Lyddane) element type when transcribing a TLE-derived mean state. Do not paste TLE mean elements directly into an osculating-element field.</w:t>
      </w:r>
    </w:p>
    <w:p>
      <w:pPr>
        <w:pStyle w:val="Heading2"/>
      </w:pPr>
      <w:r>
        <w:rPr>
          <w:color w:val="1F4E79"/>
        </w:rPr>
        <w:t>3.3  From the SSO / Repeat-Ground-Track wizard (design intent)</w:t>
      </w:r>
    </w:p>
    <w:p>
      <w:pPr>
        <w:pStyle w:val="ListBullet"/>
      </w:pPr>
      <w:r>
        <w:t>Use Orbit Wizard -&gt; Sun Synchronous (or Repeating Ground Trace) to let STK solve the true sun-synchronous inclination, then compare to 97.7444 deg. The delta reveals whether the TLE orbit is truly frozen-SSO or slightly off.</w:t>
      </w:r>
    </w:p>
    <w:p>
      <w:r>
        <w:rPr>
          <w:b w:val="0"/>
          <w:i/>
        </w:rPr>
        <w:t>Deliverable: a reconciliation table showing definitions A, B, C agree on altitude, period, inclination, and RAAN precession within tight tolerance.</w:t>
      </w:r>
    </w:p>
    <w:p>
      <w:pPr>
        <w:pStyle w:val="Heading1"/>
      </w:pPr>
      <w:r>
        <w:rPr>
          <w:color w:val="1F4E79"/>
        </w:rPr>
        <w:t>4. Propagator Fidelity (HPOP Configuration)</w:t>
      </w:r>
    </w:p>
    <w:p>
      <w:r>
        <w:rPr>
          <w:b w:val="0"/>
          <w:i w:val="0"/>
        </w:rPr>
        <w:t>SGP4 is a mean-element model and is not sufficient for coverage/lighting truth. Use HPOP for the design satellite:</w:t>
      </w:r>
    </w:p>
    <w:p>
      <w:pPr>
        <w:pStyle w:val="ListBullet"/>
      </w:pPr>
      <w:r>
        <w:t>Gravity: EGM2008 (or EGM96), degree/order &gt;= 21x21 (70x70 for decay studies).</w:t>
      </w:r>
    </w:p>
    <w:p>
      <w:pPr>
        <w:pStyle w:val="ListBullet"/>
      </w:pPr>
      <w:r>
        <w:t>Drag: ON (dominant at 550 km). Atmosphere: NRLMSISE-00 or Jacchia-Roberts. Cd ~ 2.2 (document assumption). Area/mass from actual CubeSat mass and cross-section; run min-drag (velocity-pointing narrow face) and max-drag (broadside) cases as a bracket.</w:t>
      </w:r>
    </w:p>
    <w:p>
      <w:pPr>
        <w:pStyle w:val="ListBullet"/>
      </w:pPr>
      <w:r>
        <w:t>Solar flux F10.7 and geomagnetic Ap: use predicted values for the launch epoch (SpaceWeather file). For lifetime, run nominal / +2sigma / -2sigma flux.</w:t>
      </w:r>
    </w:p>
    <w:p>
      <w:pPr>
        <w:pStyle w:val="ListBullet"/>
      </w:pPr>
      <w:r>
        <w:t>SRP: ON, Cr ~ 1.2-1.5, dual-cone shadow model.</w:t>
      </w:r>
    </w:p>
    <w:p>
      <w:pPr>
        <w:pStyle w:val="ListBullet"/>
      </w:pPr>
      <w:r>
        <w:t>Third body: Sun + Moon. Solid tides optional at this altitude/duration.</w:t>
      </w:r>
    </w:p>
    <w:p>
      <w:r>
        <w:rPr>
          <w:b/>
          <w:i w:val="0"/>
        </w:rPr>
        <w:t>Validation rule: match HPOP output against the SGP4/TLE ephemeris over 7-14 days. Position agreement to a few km early on validates the force model and area/mass.</w:t>
      </w:r>
    </w:p>
    <w:p>
      <w:pPr>
        <w:pStyle w:val="Heading1"/>
      </w:pPr>
      <w:r>
        <w:rPr>
          <w:color w:val="1F4E79"/>
        </w:rPr>
        <w:t>5. Sun-Synchronicity and LTAN Validation (Core Check)</w:t>
      </w:r>
    </w:p>
    <w:p>
      <w:pPr>
        <w:pStyle w:val="ListNumber"/>
      </w:pPr>
      <w:r>
        <w:t>Report RAAN vs. time; confirm nodal precession ~ +0.9856 deg/day.</w:t>
      </w:r>
    </w:p>
    <w:p>
      <w:pPr>
        <w:pStyle w:val="ListNumber"/>
      </w:pPr>
      <w:r>
        <w:t>Compute LTAN using the lighting / Sun-beta-angle report. Plot beta angle over a full year; it drives eclipse duration and thermal/power.</w:t>
      </w:r>
    </w:p>
    <w:p>
      <w:pPr>
        <w:pStyle w:val="ListNumber"/>
      </w:pPr>
      <w:r>
        <w:t>Identify eclipse-season extremes (max eclipse fraction) and any full-sun periods if LTAN approaches 06:00/18:00. Feeds power and thermal verification.</w:t>
      </w:r>
    </w:p>
    <w:p>
      <w:pPr>
        <w:pStyle w:val="ListNumber"/>
      </w:pPr>
      <w:r>
        <w:t>Report Sun beta min/max and max eclipse minutes per orbit to the EPS/thermal analysts.</w:t>
      </w:r>
    </w:p>
    <w:p>
      <w:pPr>
        <w:pStyle w:val="Heading1"/>
      </w:pPr>
      <w:r>
        <w:rPr>
          <w:color w:val="1F4E79"/>
        </w:rPr>
        <w:t>6. Coverage Analysis</w:t>
      </w:r>
    </w:p>
    <w:p>
      <w:pPr>
        <w:pStyle w:val="Heading2"/>
      </w:pPr>
      <w:r>
        <w:rPr>
          <w:color w:val="1F4E79"/>
        </w:rPr>
        <w:t>6.1  Ground-Station / Mission Contacts</w:t>
      </w:r>
    </w:p>
    <w:p>
      <w:pPr>
        <w:pStyle w:val="ListBullet"/>
      </w:pPr>
      <w:r>
        <w:t>Create Facility/Place objects for the primary and backup ground stations (include global network stations if used).</w:t>
      </w:r>
    </w:p>
    <w:p>
      <w:pPr>
        <w:pStyle w:val="ListBullet"/>
      </w:pPr>
      <w:r>
        <w:t>Add a Sensor with a realistic minimum elevation mask (5-10 deg UHF/S-band; 10 deg X-band).</w:t>
      </w:r>
    </w:p>
    <w:p>
      <w:pPr>
        <w:pStyle w:val="ListBullet"/>
      </w:pPr>
      <w:r>
        <w:t>Compute Access (satellite &lt;-&gt; GS). Report per day: number of passes, durations, max elevation, and gap statistics (max/mean).</w:t>
      </w:r>
    </w:p>
    <w:p>
      <w:pPr>
        <w:pStyle w:val="ListBullet"/>
      </w:pPr>
      <w:r>
        <w:t>Report total contact minutes/day against the required downlink data volume.</w:t>
      </w:r>
    </w:p>
    <w:p>
      <w:pPr>
        <w:pStyle w:val="ListBullet"/>
      </w:pPr>
      <w:r>
        <w:t>Overlay a link budget (STK Comms, if licensed) to confirm passes are usable, not merely geometric.</w:t>
      </w:r>
    </w:p>
    <w:p>
      <w:pPr>
        <w:pStyle w:val="Heading2"/>
      </w:pPr>
      <w:r>
        <w:rPr>
          <w:color w:val="1F4E79"/>
        </w:rPr>
        <w:t>6.2  Payload Coverage (Imaging / Sensing)</w:t>
      </w:r>
    </w:p>
    <w:p>
      <w:pPr>
        <w:pStyle w:val="ListBullet"/>
      </w:pPr>
      <w:r>
        <w:t>Add a Sensor modeling the payload FOV (rectangular or conical; half-angle/swath from the optics/GSD spec).</w:t>
      </w:r>
    </w:p>
    <w:p>
      <w:pPr>
        <w:pStyle w:val="ListBullet"/>
      </w:pPr>
      <w:r>
        <w:t>Point the sensor per the attitude mode (nadir or target/slewing) with body-fixed offsets.</w:t>
      </w:r>
    </w:p>
    <w:p>
      <w:pPr>
        <w:pStyle w:val="ListBullet"/>
      </w:pPr>
      <w:r>
        <w:t>Use Coverage Definition + Figure of Merit over a grid (global, latitude band, or AOIs). FOMs: Revisit Time, Access Duration, % Coverage, Number of Accesses, N-asset coverage.</w:t>
      </w:r>
    </w:p>
    <w:p>
      <w:pPr>
        <w:pStyle w:val="ListBullet"/>
      </w:pPr>
      <w:r>
        <w:t>Constrain by Sun elevation at target (optical imaging: daytime, sun-angle limits) and by eclipse (sensor off in shadow).</w:t>
      </w:r>
    </w:p>
    <w:p>
      <w:pPr>
        <w:pStyle w:val="ListBullet"/>
      </w:pPr>
      <w:r>
        <w:t>Report revisit time and daily/area coverage, and days-to-full-area-mapping.</w:t>
      </w:r>
    </w:p>
    <w:p>
      <w:pPr>
        <w:pStyle w:val="Heading2"/>
      </w:pPr>
      <w:r>
        <w:rPr>
          <w:color w:val="1F4E79"/>
        </w:rPr>
        <w:t>6.3  Lighting / Quality Constraints</w:t>
      </w:r>
    </w:p>
    <w:p>
      <w:pPr>
        <w:pStyle w:val="ListBullet"/>
      </w:pPr>
      <w:r>
        <w:t>Add solar-elevation and sensor-to-Sun constraints so coverage counts only when imaging is physically useful.</w:t>
      </w:r>
    </w:p>
    <w:p>
      <w:pPr>
        <w:pStyle w:val="Heading1"/>
      </w:pPr>
      <w:r>
        <w:rPr>
          <w:color w:val="1F4E79"/>
        </w:rPr>
        <w:t>7. Rideshare / Cluster and Collision Context</w:t>
      </w:r>
    </w:p>
    <w:p>
      <w:pPr>
        <w:pStyle w:val="ListBullet"/>
      </w:pPr>
      <w:r>
        <w:t>Load CAS500-3 and other cluster members (CelesTrak/Space-Track TLEs) alongside KARIOS.</w:t>
      </w:r>
    </w:p>
    <w:p>
      <w:pPr>
        <w:pStyle w:val="ListBullet"/>
      </w:pPr>
      <w:r>
        <w:t>Compute relative range / along-track separation vs. time to understand post-deployment drift and initial acquisition geometry.</w:t>
      </w:r>
    </w:p>
    <w:p>
      <w:pPr>
        <w:pStyle w:val="ListBullet"/>
      </w:pPr>
      <w:r>
        <w:t>Screen against the catalog (conjunction awareness) if STK CAT / Space-Track access is available; at minimum note the congested 550 km SSO shell.</w:t>
      </w:r>
    </w:p>
    <w:p>
      <w:pPr>
        <w:pStyle w:val="ListBullet"/>
      </w:pPr>
      <w:r>
        <w:t>If KARIOS has no propulsion, document that phasing is deployment-fixed and passive differential drag is the only control authority.</w:t>
      </w:r>
    </w:p>
    <w:p>
      <w:pPr>
        <w:pStyle w:val="Heading1"/>
      </w:pPr>
      <w:r>
        <w:rPr>
          <w:color w:val="1F4E79"/>
        </w:rPr>
        <w:t>8. Orbit Lifetime and Decay</w:t>
      </w:r>
    </w:p>
    <w:p>
      <w:pPr>
        <w:pStyle w:val="ListBullet"/>
      </w:pPr>
      <w:r>
        <w:t>Run the Lifetime tool (or long HPOP propagation) with Cd, area/mass (min/max attitude), and F10.7/Ap predictions with 1-2sigma solar-cycle uncertainty.</w:t>
      </w:r>
    </w:p>
    <w:p>
      <w:pPr>
        <w:pStyle w:val="ListBullet"/>
      </w:pPr>
      <w:r>
        <w:t>Output: estimated orbital lifetime and altitude-vs-time.</w:t>
      </w:r>
    </w:p>
    <w:p>
      <w:pPr>
        <w:pStyle w:val="ListBullet"/>
      </w:pPr>
      <w:r>
        <w:t>Compliance: confirm re-entry within the applicable rule (25-year, or the newer 5-year guideline / KARI-MSIT national licensing requirement). This is a licensing deliverable.</w:t>
      </w:r>
    </w:p>
    <w:p>
      <w:pPr>
        <w:pStyle w:val="Heading1"/>
      </w:pPr>
      <w:r>
        <w:rPr>
          <w:color w:val="1F4E79"/>
        </w:rPr>
        <w:t>9. Attitude, Power, and Thermal Linkage (MBSE Feed)</w:t>
      </w:r>
    </w:p>
    <w:p>
      <w:r>
        <w:rPr>
          <w:b w:val="0"/>
          <w:i w:val="0"/>
        </w:rPr>
        <w:t>STK produces the geometry the other analyses require. Export as named, regenerable reports to support model-based (SysML/MBSE) traceability:</w:t>
      </w:r>
    </w:p>
    <w:p>
      <w:pPr>
        <w:pStyle w:val="ListBullet"/>
      </w:pPr>
      <w:r>
        <w:t>Beta angle, eclipse entry/exit/duration -&gt; EPS battery DoD and thermal cycling.</w:t>
      </w:r>
    </w:p>
    <w:p>
      <w:pPr>
        <w:pStyle w:val="ListBullet"/>
      </w:pPr>
      <w:r>
        <w:t>Sun vector in body frame (with attitude profile) -&gt; solar-array power and thermal loads.</w:t>
      </w:r>
    </w:p>
    <w:p>
      <w:pPr>
        <w:pStyle w:val="ListBullet"/>
      </w:pPr>
      <w:r>
        <w:t>Nadir/target pointing angles and slew rates -&gt; ADCS sizing.</w:t>
      </w:r>
    </w:p>
    <w:p>
      <w:pPr>
        <w:pStyle w:val="ListBullet"/>
      </w:pPr>
      <w:r>
        <w:t>GS access windows -&gt; operations timeline and data budget.</w:t>
      </w:r>
    </w:p>
    <w:p>
      <w:pPr>
        <w:pStyle w:val="Heading1"/>
      </w:pPr>
      <w:r>
        <w:rPr>
          <w:color w:val="1F4E79"/>
        </w:rPr>
        <w:t>10. Sensitivity and Injection-Dispersion Analysis</w:t>
      </w:r>
    </w:p>
    <w:p>
      <w:r>
        <w:rPr>
          <w:b w:val="0"/>
          <w:i w:val="0"/>
        </w:rPr>
        <w:t>Launch never delivers the nominal orbit. Run injection-dispersion cases and re-run all figures of merit:</w:t>
      </w:r>
    </w:p>
    <w:p>
      <w:pPr>
        <w:pStyle w:val="ListBullet"/>
      </w:pPr>
      <w:r>
        <w:t>Vary altitude +/-25 km, inclination +/-0.05-0.1 deg, RAAN by a few degrees (LTAN uncertainty), and epoch/phasing.</w:t>
      </w:r>
    </w:p>
    <w:p>
      <w:pPr>
        <w:pStyle w:val="ListBullet"/>
      </w:pPr>
      <w:r>
        <w:t>Re-run coverage, revisit, contacts, beta/eclipse, and lifetime for each case.</w:t>
      </w:r>
    </w:p>
    <w:p>
      <w:pPr>
        <w:pStyle w:val="ListBullet"/>
      </w:pPr>
      <w:r>
        <w:t>Report which requirements are sensitive vs. robust. Automate with STK Analyzer or a Python/STK-Engine parametric loop.</w:t>
      </w:r>
    </w:p>
    <w:p>
      <w:r>
        <w:rPr>
          <w:b w:val="0"/>
          <w:i/>
        </w:rPr>
        <w:t>This closes the Analysis (A) verification method and demonstrates the orbit meets requirements across the real injection envelope, not only at the nominal point.</w:t>
      </w:r>
    </w:p>
    <w:p>
      <w:pPr>
        <w:pStyle w:val="Heading1"/>
      </w:pPr>
      <w:r>
        <w:rPr>
          <w:color w:val="1F4E79"/>
        </w:rPr>
        <w:t>11. Automation and Reproducibility</w:t>
      </w:r>
    </w:p>
    <w:p>
      <w:pPr>
        <w:pStyle w:val="ListBullet"/>
      </w:pPr>
      <w:r>
        <w:t>Drive STK from Python (agi.stk12 / STK Engine) or Connect/MATLAB so the study is fully scripted: build satellite -&gt; configure HPOP -&gt; run coverage -&gt; export CSV/plots.</w:t>
      </w:r>
    </w:p>
    <w:p>
      <w:pPr>
        <w:pStyle w:val="ListBullet"/>
      </w:pPr>
      <w:r>
        <w:t>Version-control scripts, input TLEs, and SpaceWeather files (this repository) for reproducible, auditable review-board results.</w:t>
      </w:r>
    </w:p>
    <w:p>
      <w:pPr>
        <w:pStyle w:val="ListBullet"/>
      </w:pPr>
      <w:r>
        <w:t>Export a standard report pack: ground track, access tables, coverage FOM maps, beta/eclipse plots, lifetime curve, and dispersion summary.</w:t>
      </w:r>
    </w:p>
    <w:p>
      <w:pPr>
        <w:pStyle w:val="Heading1"/>
      </w:pPr>
      <w:r>
        <w:rPr>
          <w:color w:val="1F4E79"/>
        </w:rPr>
        <w:t>12. Deliverable Checklist</w:t>
      </w:r>
    </w:p>
    <w:p>
      <w:pPr>
        <w:pStyle w:val="ListBullet"/>
      </w:pPr>
      <w:r>
        <w:t>[  ] Three orbit definitions (TLE / Keplerian / SSO-wizard) reconciled</w:t>
      </w:r>
    </w:p>
    <w:p>
      <w:pPr>
        <w:pStyle w:val="ListBullet"/>
      </w:pPr>
      <w:r>
        <w:t>[  ] RAAN precession = +0.9856 deg/day confirmed (true SSO)</w:t>
      </w:r>
    </w:p>
    <w:p>
      <w:pPr>
        <w:pStyle w:val="ListBullet"/>
      </w:pPr>
      <w:r>
        <w:t>[  ] HPOP force model documented (gravity, drag, SRP, third-body)</w:t>
      </w:r>
    </w:p>
    <w:p>
      <w:pPr>
        <w:pStyle w:val="ListBullet"/>
      </w:pPr>
      <w:r>
        <w:t>[  ] Beta-angle and eclipse profile over a full year</w:t>
      </w:r>
    </w:p>
    <w:p>
      <w:pPr>
        <w:pStyle w:val="ListBullet"/>
      </w:pPr>
      <w:r>
        <w:t>[  ] GS contact statistics vs. data-budget requirement</w:t>
      </w:r>
    </w:p>
    <w:p>
      <w:pPr>
        <w:pStyle w:val="ListBullet"/>
      </w:pPr>
      <w:r>
        <w:t>[  ] Payload coverage: revisit time and % coverage for AOI</w:t>
      </w:r>
    </w:p>
    <w:p>
      <w:pPr>
        <w:pStyle w:val="ListBullet"/>
      </w:pPr>
      <w:r>
        <w:t>[  ] Cluster/rideshare relative motion vs. CAS500-3</w:t>
      </w:r>
    </w:p>
    <w:p>
      <w:pPr>
        <w:pStyle w:val="ListBullet"/>
      </w:pPr>
      <w:r>
        <w:t>[  ] Orbit lifetime and re-entry compliance</w:t>
      </w:r>
    </w:p>
    <w:p>
      <w:pPr>
        <w:pStyle w:val="ListBullet"/>
      </w:pPr>
      <w:r>
        <w:t>[  ] Injection-dispersion sensitivity study</w:t>
      </w:r>
    </w:p>
    <w:p>
      <w:pPr>
        <w:pStyle w:val="ListBullet"/>
      </w:pPr>
      <w:r>
        <w:t>[  ] Scripted, version-controlled, reproducible report pack</w:t>
      </w:r>
    </w:p>
    <w:p>
      <w:pPr>
        <w:pStyle w:val="Heading1"/>
      </w:pPr>
      <w:r>
        <w:rPr>
          <w:color w:val="1F4E79"/>
        </w:rPr>
        <w:t>13. Highest-Priority Actions</w:t>
      </w:r>
    </w:p>
    <w:p>
      <w:pPr>
        <w:pStyle w:val="ListNumber"/>
      </w:pPr>
      <w:r>
        <w:t>Validate true sun-synchronicity (Section 5) before anything else; everything depends on it.</w:t>
      </w:r>
    </w:p>
    <w:p>
      <w:pPr>
        <w:pStyle w:val="ListNumber"/>
      </w:pPr>
      <w:r>
        <w:t>Use HPOP with a realistic drag model (Section 4); at 550 km, SGP4/J2 alone will mislead coverage and lifetime.</w:t>
      </w:r>
    </w:p>
    <w:p>
      <w:pPr>
        <w:pStyle w:val="ListNumber"/>
      </w:pPr>
      <w:r>
        <w:t>Bracket everything with min/max drag and solar-flux cases (Sections 4, 8, 10); a CubeSat without propulsion lives or dies by the atmosphere.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