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31"/>
        <w:jc w:val="left"/>
      </w:pPr>
      <w:r>
        <w:rPr>
          <w:rFonts w:ascii="Times New Roman" w:cs="Times New Roman" w:eastAsia="Times New Roman" w:hAnsi="Times New Roman"/>
          <w:b/>
          <w:bCs/>
          <w:sz w:val="28"/>
          <w:szCs w:val="28"/>
        </w:rPr>
        <w:t xml:space="preserve">Supporting Information</w:t>
      </w:r>
    </w:p>
    <w:p>
      <w:pPr>
        <w:spacing w:after="360" w:line="331"/>
        <w:jc w:val="left"/>
      </w:pPr>
      <w:r>
        <w:rPr>
          <w:rFonts w:ascii="Times New Roman" w:cs="Times New Roman" w:eastAsia="Times New Roman" w:hAnsi="Times New Roman"/>
          <w:b/>
          <w:bCs/>
          <w:sz w:val="24"/>
          <w:szCs w:val="24"/>
        </w:rPr>
        <w:t xml:space="preserve">From black boxes to chemical interpretability: explainable deep learning for mutagenicity prediction</w:t>
      </w:r>
    </w:p>
    <w:p>
      <w:pPr>
        <w:spacing w:after="120" w:line="331"/>
        <w:jc w:val="left"/>
      </w:pPr>
      <w:r>
        <w:rPr>
          <w:rFonts w:ascii="Times New Roman" w:cs="Times New Roman" w:eastAsia="Times New Roman" w:hAnsi="Times New Roman"/>
          <w:b/>
          <w:bCs/>
          <w:sz w:val="24"/>
          <w:szCs w:val="24"/>
        </w:rPr>
        <w:t xml:space="preserve">Table S1. Contribution of the descriptor pathway to the predicted logit difference, by structural alert.</w:t>
      </w:r>
    </w:p>
    <w:p>
      <w:pPr>
        <w:spacing w:after="240" w:line="331"/>
        <w:jc w:val="both"/>
      </w:pPr>
      <w:r>
        <w:rPr>
          <w:rFonts w:ascii="Times New Roman" w:cs="Times New Roman" w:eastAsia="Times New Roman" w:hAnsi="Times New Roman"/>
          <w:b w:val="false"/>
          <w:bCs w:val="false"/>
          <w:sz w:val="20"/>
          <w:szCs w:val="20"/>
        </w:rPr>
        <w:t xml:space="preserve">Ames compounds carrying each Kazius structural alert were split by their experimental label, and the descriptor pathway's contribution to the logit difference between the mutagenic and non-mutagenic classes was compared between the two groups. Because the architecture is additive at the output, this contribution is exactly the gated auxiliary term and requires no attribution method. Alerts are included where at least ten compounds fall in each class, giving nine of the 29 alerts in the set; they are ordered by the size of the difference. Values are means over all compounds carrying the alert, in logit units; mut. denotes mutagenic. p values are from Welch's t-test comparing the two groups. The grouping depends only on the experimental label and on substructure membership, not on model behaviour.</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250"/>
        <w:gridCol w:w="800"/>
        <w:gridCol w:w="950"/>
        <w:gridCol w:w="1250"/>
        <w:gridCol w:w="1350"/>
        <w:gridCol w:w="1050"/>
        <w:gridCol w:w="1379"/>
      </w:tblGrid>
      <w:tr>
        <w:trPr>
          <w:tblHeader/>
        </w:trPr>
        <w:tc>
          <w:tcPr>
            <w:tcW w:type="dxa" w:w="2250"/>
            <w:shd w:fill="EFEFEF" w:val="clear"/>
          </w:tcPr>
          <w:p>
            <w:pPr>
              <w:spacing w:after="40" w:before="40"/>
              <w:jc w:val="center"/>
            </w:pPr>
            <w:r>
              <w:rPr>
                <w:rFonts w:ascii="Times New Roman" w:cs="Times New Roman" w:eastAsia="Times New Roman" w:hAnsi="Times New Roman"/>
                <w:b/>
                <w:bCs/>
                <w:sz w:val="18"/>
                <w:szCs w:val="18"/>
              </w:rPr>
              <w:t xml:space="preserve">Structural alert</w:t>
            </w:r>
          </w:p>
        </w:tc>
        <w:tc>
          <w:tcPr>
            <w:tcW w:type="dxa" w:w="800"/>
            <w:shd w:fill="EFEFEF" w:val="clear"/>
          </w:tcPr>
          <w:p>
            <w:pPr>
              <w:spacing w:after="40" w:before="40"/>
              <w:jc w:val="center"/>
            </w:pPr>
            <w:r>
              <w:rPr>
                <w:rFonts w:ascii="Times New Roman" w:cs="Times New Roman" w:eastAsia="Times New Roman" w:hAnsi="Times New Roman"/>
                <w:b/>
                <w:bCs/>
                <w:sz w:val="18"/>
                <w:szCs w:val="18"/>
              </w:rPr>
              <w:t xml:space="preserve">n mut.</w:t>
            </w:r>
          </w:p>
        </w:tc>
        <w:tc>
          <w:tcPr>
            <w:tcW w:type="dxa" w:w="950"/>
            <w:shd w:fill="EFEFEF" w:val="clear"/>
          </w:tcPr>
          <w:p>
            <w:pPr>
              <w:spacing w:after="40" w:before="40"/>
              <w:jc w:val="center"/>
            </w:pPr>
            <w:r>
              <w:rPr>
                <w:rFonts w:ascii="Times New Roman" w:cs="Times New Roman" w:eastAsia="Times New Roman" w:hAnsi="Times New Roman"/>
                <w:b/>
                <w:bCs/>
                <w:sz w:val="18"/>
                <w:szCs w:val="18"/>
              </w:rPr>
              <w:t xml:space="preserve">n non-mut.</w:t>
            </w:r>
          </w:p>
        </w:tc>
        <w:tc>
          <w:tcPr>
            <w:tcW w:type="dxa" w:w="1250"/>
            <w:shd w:fill="EFEFEF" w:val="clear"/>
          </w:tcPr>
          <w:p>
            <w:pPr>
              <w:spacing w:after="40" w:before="40"/>
              <w:jc w:val="center"/>
            </w:pPr>
            <w:r>
              <w:rPr>
                <w:rFonts w:ascii="Times New Roman" w:cs="Times New Roman" w:eastAsia="Times New Roman" w:hAnsi="Times New Roman"/>
                <w:b/>
                <w:bCs/>
                <w:sz w:val="18"/>
                <w:szCs w:val="18"/>
              </w:rPr>
              <w:t xml:space="preserve">Mean (mut.)</w:t>
            </w:r>
          </w:p>
        </w:tc>
        <w:tc>
          <w:tcPr>
            <w:tcW w:type="dxa" w:w="1350"/>
            <w:shd w:fill="EFEFEF" w:val="clear"/>
          </w:tcPr>
          <w:p>
            <w:pPr>
              <w:spacing w:after="40" w:before="40"/>
              <w:jc w:val="center"/>
            </w:pPr>
            <w:r>
              <w:rPr>
                <w:rFonts w:ascii="Times New Roman" w:cs="Times New Roman" w:eastAsia="Times New Roman" w:hAnsi="Times New Roman"/>
                <w:b/>
                <w:bCs/>
                <w:sz w:val="18"/>
                <w:szCs w:val="18"/>
              </w:rPr>
              <w:t xml:space="preserve">Mean (non-mut.)</w:t>
            </w:r>
          </w:p>
        </w:tc>
        <w:tc>
          <w:tcPr>
            <w:tcW w:type="dxa" w:w="1050"/>
            <w:shd w:fill="EFEFEF" w:val="clear"/>
          </w:tcPr>
          <w:p>
            <w:pPr>
              <w:spacing w:after="40" w:before="40"/>
              <w:jc w:val="center"/>
            </w:pPr>
            <w:r>
              <w:rPr>
                <w:rFonts w:ascii="Times New Roman" w:cs="Times New Roman" w:eastAsia="Times New Roman" w:hAnsi="Times New Roman"/>
                <w:b/>
                <w:bCs/>
                <w:sz w:val="18"/>
                <w:szCs w:val="18"/>
              </w:rPr>
              <w:t xml:space="preserve">Difference</w:t>
            </w:r>
          </w:p>
        </w:tc>
        <w:tc>
          <w:tcPr>
            <w:tcW w:type="dxa" w:w="1379"/>
            <w:shd w:fill="EFEFEF" w:val="clear"/>
          </w:tcPr>
          <w:p>
            <w:pPr>
              <w:spacing w:after="40" w:before="40"/>
              <w:jc w:val="center"/>
            </w:pPr>
            <w:r>
              <w:rPr>
                <w:rFonts w:ascii="Times New Roman" w:cs="Times New Roman" w:eastAsia="Times New Roman" w:hAnsi="Times New Roman"/>
                <w:b/>
                <w:bCs/>
                <w:sz w:val="18"/>
                <w:szCs w:val="18"/>
              </w:rPr>
              <w:t xml:space="preserve">p</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Epoxide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330</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103</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+2.38</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−0.43</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+2.82</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2 × 10⁻³⁴</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Aromatic nitro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822</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133</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+2.19</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+0.44</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+1.75</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5 × 10⁻³¹</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Nitrosamine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212</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24</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+2.36</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+0.86</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+1.50</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5 × 10⁻⁴</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Aromatic amine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486</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140</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+1.26</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−0.21</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+1.47</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1 × 10⁻²²</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Aliphatic halide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307</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178</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+0.98</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−0.26</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+1.24</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2 × 10⁻²³</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Aromatic azo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92</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49</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+0.54</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−0.69</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+1.23</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1 × 10⁻⁸</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α,β-Unsaturated aldehyde (additional)</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49</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22</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+0.83</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−0.19</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+1.02</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2 × 10⁻⁴</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Polycyclic aromatic system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1127</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214</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+1.64</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+0.63</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+1.01</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4 × 10⁻²⁰</w:t>
            </w:r>
          </w:p>
        </w:tc>
      </w:tr>
      <w:tr>
        <w:tc>
          <w:tcPr>
            <w:tcW w:type="dxa" w:w="2250"/>
          </w:tcPr>
          <w:p>
            <w:pPr>
              <w:spacing w:after="40" w:before="40"/>
              <w:jc w:val="left"/>
            </w:pPr>
            <w:r>
              <w:rPr>
                <w:rFonts w:ascii="Times New Roman" w:cs="Times New Roman" w:eastAsia="Times New Roman" w:hAnsi="Times New Roman"/>
                <w:b w:val="false"/>
                <w:bCs w:val="false"/>
                <w:sz w:val="18"/>
                <w:szCs w:val="18"/>
              </w:rPr>
              <w:t xml:space="preserve">Unsubstituted heteroatom-bonded heteroatom (specific)</w:t>
            </w:r>
          </w:p>
        </w:tc>
        <w:tc>
          <w:tcPr>
            <w:tcW w:type="dxa" w:w="800"/>
          </w:tcPr>
          <w:p>
            <w:pPr>
              <w:spacing w:after="40" w:before="40"/>
              <w:jc w:val="center"/>
            </w:pPr>
            <w:r>
              <w:rPr>
                <w:rFonts w:ascii="Times New Roman" w:cs="Times New Roman" w:eastAsia="Times New Roman" w:hAnsi="Times New Roman"/>
                <w:b w:val="false"/>
                <w:bCs w:val="false"/>
                <w:sz w:val="18"/>
                <w:szCs w:val="18"/>
              </w:rPr>
              <w:t xml:space="preserve">118</w:t>
            </w:r>
          </w:p>
        </w:tc>
        <w:tc>
          <w:tcPr>
            <w:tcW w:type="dxa" w:w="950"/>
          </w:tcPr>
          <w:p>
            <w:pPr>
              <w:spacing w:after="40" w:before="40"/>
              <w:jc w:val="center"/>
            </w:pPr>
            <w:r>
              <w:rPr>
                <w:rFonts w:ascii="Times New Roman" w:cs="Times New Roman" w:eastAsia="Times New Roman" w:hAnsi="Times New Roman"/>
                <w:b w:val="false"/>
                <w:bCs w:val="false"/>
                <w:sz w:val="18"/>
                <w:szCs w:val="18"/>
              </w:rPr>
              <w:t xml:space="preserve">70</w:t>
            </w:r>
          </w:p>
        </w:tc>
        <w:tc>
          <w:tcPr>
            <w:tcW w:type="dxa" w:w="1250"/>
          </w:tcPr>
          <w:p>
            <w:pPr>
              <w:spacing w:after="40" w:before="40"/>
              <w:jc w:val="center"/>
            </w:pPr>
            <w:r>
              <w:rPr>
                <w:rFonts w:ascii="Times New Roman" w:cs="Times New Roman" w:eastAsia="Times New Roman" w:hAnsi="Times New Roman"/>
                <w:b w:val="false"/>
                <w:bCs w:val="false"/>
                <w:sz w:val="18"/>
                <w:szCs w:val="18"/>
              </w:rPr>
              <w:t xml:space="preserve">+0.35</w:t>
            </w:r>
          </w:p>
        </w:tc>
        <w:tc>
          <w:tcPr>
            <w:tcW w:type="dxa" w:w="1350"/>
          </w:tcPr>
          <w:p>
            <w:pPr>
              <w:spacing w:after="40" w:before="40"/>
              <w:jc w:val="center"/>
            </w:pPr>
            <w:r>
              <w:rPr>
                <w:rFonts w:ascii="Times New Roman" w:cs="Times New Roman" w:eastAsia="Times New Roman" w:hAnsi="Times New Roman"/>
                <w:b w:val="false"/>
                <w:bCs w:val="false"/>
                <w:sz w:val="18"/>
                <w:szCs w:val="18"/>
              </w:rPr>
              <w:t xml:space="preserve">+0.00</w:t>
            </w:r>
          </w:p>
        </w:tc>
        <w:tc>
          <w:tcPr>
            <w:tcW w:type="dxa" w:w="1050"/>
          </w:tcPr>
          <w:p>
            <w:pPr>
              <w:spacing w:after="40" w:before="40"/>
              <w:jc w:val="center"/>
            </w:pPr>
            <w:r>
              <w:rPr>
                <w:rFonts w:ascii="Times New Roman" w:cs="Times New Roman" w:eastAsia="Times New Roman" w:hAnsi="Times New Roman"/>
                <w:b w:val="false"/>
                <w:bCs w:val="false"/>
                <w:sz w:val="18"/>
                <w:szCs w:val="18"/>
              </w:rPr>
              <w:t xml:space="preserve">+0.35</w:t>
            </w:r>
          </w:p>
        </w:tc>
        <w:tc>
          <w:tcPr>
            <w:tcW w:type="dxa" w:w="1379"/>
          </w:tcPr>
          <w:p>
            <w:pPr>
              <w:spacing w:after="40" w:before="40"/>
              <w:jc w:val="center"/>
            </w:pPr>
            <w:r>
              <w:rPr>
                <w:rFonts w:ascii="Times New Roman" w:cs="Times New Roman" w:eastAsia="Times New Roman" w:hAnsi="Times New Roman"/>
                <w:b w:val="false"/>
                <w:bCs w:val="false"/>
                <w:sz w:val="18"/>
                <w:szCs w:val="18"/>
              </w:rPr>
              <w:t xml:space="preserve">3 × 10⁻²</w:t>
            </w:r>
          </w:p>
        </w:tc>
      </w:tr>
    </w:tbl>
    <w:p>
      <w:pPr>
        <w:spacing w:before="240"/>
      </w:pPr>
      <w:r>
        <w:rPr>
          <w:rFonts w:ascii="Times New Roman" w:cs="Times New Roman" w:eastAsia="Times New Roman" w:hAnsi="Times New Roman"/>
          <w:sz w:val="20"/>
          <w:szCs w:val="20"/>
        </w:rPr>
        <w:t xml:space="preserve"/>
      </w:r>
    </w:p>
    <w:p>
      <w:pPr>
        <w:spacing w:after="200" w:line="331"/>
        <w:jc w:val="both"/>
      </w:pPr>
      <w:r>
        <w:rPr>
          <w:rFonts w:ascii="Times New Roman" w:cs="Times New Roman" w:eastAsia="Times New Roman" w:hAnsi="Times New Roman"/>
          <w:b w:val="false"/>
          <w:bCs w:val="false"/>
          <w:sz w:val="20"/>
          <w:szCs w:val="20"/>
        </w:rPr>
        <w:t xml:space="preserve">A positive difference means the descriptor pathway pushed mutagenic compounds carrying the alert further toward the mutagenic class than it pushed non-mutagenic compounds carrying the same alert. The difference is positive and statistically significant for every alert listed, so the descriptor pathway does not simply respond to the presence of the alert, which would raise the contribution equally for both groups.</w:t>
      </w:r>
    </w:p>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2026-09-23T11:35:29.610Z</dcterms:created>
  <dcterms:modified xsi:type="dcterms:W3CDTF">2026-09-23T11:35:29.611Z</dcterms:modified>
</cp:coreProperties>
</file>

<file path=docProps/custom.xml><?xml version="1.0" encoding="utf-8"?>
<Properties xmlns="http://schemas.openxmlformats.org/officeDocument/2006/custom-properties" xmlns:vt="http://schemas.openxmlformats.org/officeDocument/2006/docPropsVTypes"/>
</file>