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VMS System — Complete User Manual &amp; Documentation</w:t>
      </w:r>
    </w:p>
    <w:p>
      <w:pPr>
        <w:spacing w:after="400"/>
      </w:pPr>
      <w:r>
        <w:t xml:space="preserve">Vinayaka Mission's Research Foundation — Vendor Management System</w:t>
      </w:r>
    </w:p>
    <w:p>
      <w:r>
        <w:br w:type="page"/>
      </w:r>
    </w:p>
    <w:p>
      <w:pPr>
        <w:pStyle w:val="Heading1"/>
        <w:spacing w:after="160" w:before="240"/>
      </w:pPr>
      <w:r>
        <w:t xml:space="preserve">VMS System — Complete User Manual &amp; Documentation</w:t>
      </w:r>
    </w:p>
    <w:p>
      <w:pPr>
        <w:spacing w:after="160"/>
      </w:pPr>
      <w:r>
        <w:rPr>
          <w:b/>
          <w:bCs/>
        </w:rPr>
        <w:t xml:space="preserve">Vinayaka Mission's Research Foundation — Vendor Management System (VMS)</w:t>
      </w:r>
      <w:r>
        <w:t xml:space="preserve">
Laravel 12 · MySQL · Blade + Tailwind + Alpine.js</w:t>
      </w:r>
    </w:p>
    <w:p>
      <w:pPr>
        <w:spacing w:after="160"/>
      </w:pPr>
      <w:r>
        <w:t xml:space="preserve">This manual documents every screen in the application, organized by user role, the full tender/application/contract lifecycle with flowcharts inline, every automatic email notification the system sends, its readiness for a future mobile app and public website integration, and a genuine </w:t>
      </w:r>
      <w:r>
        <w:rPr>
          <w:b/>
          <w:bCs/>
        </w:rPr>
        <w:t xml:space="preserve">live end-to-end walkthrough</w:t>
      </w:r>
      <w:r>
        <w:t xml:space="preserve"> — a real vendor registered, a real tender created and published, a real committee member added, a real application submitted, reviewed, shortlisted and awarded, and a real contract signed, all captured screen-by-screen as it happened on 2026-07-03.</w:t>
      </w:r>
    </w:p>
    <w:p>
      <w:pPr>
        <w:pBdr>
          <w:left w:val="single" w:color="94A3B8" w:sz="12"/>
        </w:pBdr>
        <w:spacing w:after="120"/>
        <w:ind w:left="360"/>
      </w:pPr>
      <w:r>
        <w:t xml:space="preserve">Static screenshots (§3–§7) were captured against the live database (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vms_db</w:t>
      </w:r>
      <w:r>
        <w:t xml:space="preserve">), so some show real tenders/vendors already in the system. The walkthrough in §13 created new, clearly-labeled demo records — additive only, nothing existing was altered.</w:t>
      </w:r>
    </w:p>
    <w:p>
      <w:pPr>
        <w:pBdr>
          <w:bottom w:val="single" w:color="CBD5E1" w:sz="6"/>
        </w:pBdr>
        <w:spacing w:after="200"/>
      </w:pPr>
    </w:p>
    <w:p>
      <w:pPr>
        <w:pStyle w:val="Heading2"/>
        <w:pageBreakBefore/>
        <w:spacing w:after="160" w:before="24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hyperlink w:history="1" r:id="rIdkor78vuxjkl6ohlovvpht">
        <w:r>
          <w:rPr>
            <w:rStyle w:val="Hyperlink"/>
          </w:rPr>
          <w:t xml:space="preserve">System Overview</w:t>
        </w:r>
      </w:hyperlink>
    </w:p>
    <w:p>
      <w:pPr>
        <w:pStyle w:val="ListParagraph"/>
        <w:numPr>
          <w:ilvl w:val="0"/>
          <w:numId w:val="2"/>
        </w:numPr>
        <w:spacing w:after="60"/>
        <w:ind w:left="360"/>
      </w:pPr>
      <w:hyperlink w:history="1" r:id="rId3dugcn1oixa3cp_srclqa">
        <w:r>
          <w:rPr>
            <w:rStyle w:val="Hyperlink"/>
          </w:rPr>
          <w:t xml:space="preserve">User Roles &amp; Permissions</w:t>
        </w:r>
      </w:hyperlink>
    </w:p>
    <w:p>
      <w:pPr>
        <w:pStyle w:val="ListParagraph"/>
        <w:numPr>
          <w:ilvl w:val="0"/>
          <w:numId w:val="2"/>
        </w:numPr>
        <w:spacing w:after="60"/>
        <w:ind w:left="360"/>
      </w:pPr>
      <w:hyperlink w:history="1" r:id="rIdtduagenwd6x1ti7v5crge">
        <w:r>
          <w:rPr>
            <w:rStyle w:val="Hyperlink"/>
          </w:rPr>
          <w:t xml:space="preserve">Authentication Screens</w:t>
        </w:r>
      </w:hyperlink>
    </w:p>
    <w:p>
      <w:pPr>
        <w:pStyle w:val="ListParagraph"/>
        <w:numPr>
          <w:ilvl w:val="0"/>
          <w:numId w:val="2"/>
        </w:numPr>
        <w:spacing w:after="60"/>
        <w:ind w:left="360"/>
      </w:pPr>
      <w:hyperlink w:history="1" r:id="rIdzi-enebzqwen3ynxbfli-">
        <w:r>
          <w:rPr>
            <w:rStyle w:val="Hyperlink"/>
          </w:rPr>
          <w:t xml:space="preserve">Admin Manual</w:t>
        </w:r>
      </w:hyperlink>
    </w:p>
    <w:p>
      <w:pPr>
        <w:pStyle w:val="ListParagraph"/>
        <w:numPr>
          <w:ilvl w:val="0"/>
          <w:numId w:val="2"/>
        </w:numPr>
        <w:spacing w:after="60"/>
        <w:ind w:left="360"/>
      </w:pPr>
      <w:hyperlink w:history="1" r:id="rIdl1h9msmwfjtvirz-h6o7w">
        <w:r>
          <w:rPr>
            <w:rStyle w:val="Hyperlink"/>
          </w:rPr>
          <w:t xml:space="preserve">Tender Owner Manual</w:t>
        </w:r>
      </w:hyperlink>
    </w:p>
    <w:p>
      <w:pPr>
        <w:pStyle w:val="ListParagraph"/>
        <w:numPr>
          <w:ilvl w:val="0"/>
          <w:numId w:val="2"/>
        </w:numPr>
        <w:spacing w:after="60"/>
        <w:ind w:left="360"/>
      </w:pPr>
      <w:hyperlink w:history="1" r:id="rIdqmktkmzumasmk-nfncnrh">
        <w:r>
          <w:rPr>
            <w:rStyle w:val="Hyperlink"/>
          </w:rPr>
          <w:t xml:space="preserve">Vendor Manual</w:t>
        </w:r>
      </w:hyperlink>
    </w:p>
    <w:p>
      <w:pPr>
        <w:pStyle w:val="ListParagraph"/>
        <w:numPr>
          <w:ilvl w:val="0"/>
          <w:numId w:val="2"/>
        </w:numPr>
        <w:spacing w:after="60"/>
        <w:ind w:left="360"/>
      </w:pPr>
      <w:hyperlink w:history="1" r:id="rIdyadcve1lp7so6-vs_tdji">
        <w:r>
          <w:rPr>
            <w:rStyle w:val="Hyperlink"/>
          </w:rPr>
          <w:t xml:space="preserve">Committee Member Manual</w:t>
        </w:r>
      </w:hyperlink>
    </w:p>
    <w:p>
      <w:pPr>
        <w:pStyle w:val="ListParagraph"/>
        <w:numPr>
          <w:ilvl w:val="0"/>
          <w:numId w:val="2"/>
        </w:numPr>
        <w:spacing w:after="60"/>
        <w:ind w:left="360"/>
      </w:pPr>
      <w:hyperlink w:history="1" r:id="rIdhsci1i2gamxe7x_dtmkav">
        <w:r>
          <w:rPr>
            <w:rStyle w:val="Hyperlink"/>
          </w:rPr>
          <w:t xml:space="preserve">Tender → Application → Contract Lifecycle (with flowcharts)</w:t>
        </w:r>
      </w:hyperlink>
    </w:p>
    <w:p>
      <w:pPr>
        <w:pStyle w:val="ListParagraph"/>
        <w:numPr>
          <w:ilvl w:val="0"/>
          <w:numId w:val="2"/>
        </w:numPr>
        <w:spacing w:after="60"/>
        <w:ind w:left="360"/>
      </w:pPr>
      <w:hyperlink w:history="1" r:id="rId1ttk244lto2b3g_ujdbma">
        <w:r>
          <w:rPr>
            <w:rStyle w:val="Hyperlink"/>
          </w:rPr>
          <w:t xml:space="preserve">Automatic Email Notifications</w:t>
        </w:r>
      </w:hyperlink>
    </w:p>
    <w:p>
      <w:pPr>
        <w:pStyle w:val="ListParagraph"/>
        <w:numPr>
          <w:ilvl w:val="0"/>
          <w:numId w:val="2"/>
        </w:numPr>
        <w:spacing w:after="60"/>
        <w:ind w:left="360"/>
      </w:pPr>
      <w:hyperlink w:history="1" r:id="rIduzhzrkh17nuap-gwjpfy0">
        <w:r>
          <w:rPr>
            <w:rStyle w:val="Hyperlink"/>
          </w:rPr>
          <w:t xml:space="preserve">Future-Ready: Mobile App &amp; Public Website Integration</w:t>
        </w:r>
      </w:hyperlink>
    </w:p>
    <w:p>
      <w:pPr>
        <w:pStyle w:val="ListParagraph"/>
        <w:numPr>
          <w:ilvl w:val="0"/>
          <w:numId w:val="2"/>
        </w:numPr>
        <w:spacing w:after="60"/>
        <w:ind w:left="360"/>
      </w:pPr>
      <w:hyperlink w:history="1" r:id="rIdi1mcms_7-fa7hwgnihu4q">
        <w:r>
          <w:rPr>
            <w:rStyle w:val="Hyperlink"/>
          </w:rPr>
          <w:t xml:space="preserve">Data Model</w:t>
        </w:r>
      </w:hyperlink>
    </w:p>
    <w:p>
      <w:pPr>
        <w:pStyle w:val="ListParagraph"/>
        <w:numPr>
          <w:ilvl w:val="0"/>
          <w:numId w:val="2"/>
        </w:numPr>
        <w:spacing w:after="60"/>
        <w:ind w:left="360"/>
      </w:pPr>
      <w:hyperlink w:history="1" r:id="rId_mqeg3tlr6fobztuzzoke">
        <w:r>
          <w:rPr>
            <w:rStyle w:val="Hyperlink"/>
          </w:rPr>
          <w:t xml:space="preserve">Known Issues Found During This Review</w:t>
        </w:r>
      </w:hyperlink>
    </w:p>
    <w:p>
      <w:pPr>
        <w:pStyle w:val="ListParagraph"/>
        <w:numPr>
          <w:ilvl w:val="0"/>
          <w:numId w:val="2"/>
        </w:numPr>
        <w:spacing w:after="60"/>
        <w:ind w:left="360"/>
      </w:pPr>
      <w:hyperlink w:history="1" r:id="rId6e0fjdnazmpbfd0ox_v_y">
        <w:r>
          <w:rPr>
            <w:rStyle w:val="Hyperlink"/>
          </w:rPr>
          <w:t xml:space="preserve">Live End-to-End Walkthrough</w:t>
        </w:r>
      </w:hyperlink>
    </w:p>
    <w:p>
      <w:pPr>
        <w:pStyle w:val="ListParagraph"/>
        <w:numPr>
          <w:ilvl w:val="0"/>
          <w:numId w:val="2"/>
        </w:numPr>
        <w:spacing w:after="60"/>
        <w:ind w:left="360"/>
      </w:pPr>
      <w:hyperlink w:history="1" r:id="rIdcnayn-dmmccadihcvgdzs">
        <w:r>
          <w:rPr>
            <w:rStyle w:val="Hyperlink"/>
          </w:rPr>
          <w:t xml:space="preserve">Appendix: Test Credentials &amp; Routes</w:t>
        </w:r>
      </w:hyperlink>
    </w:p>
    <w:p>
      <w:pPr>
        <w:spacing w:after="100"/>
      </w:pPr>
    </w:p>
    <w:p>
      <w:pPr>
        <w:pBdr>
          <w:bottom w:val="single" w:color="CBD5E1" w:sz="6"/>
        </w:pBdr>
        <w:spacing w:after="200"/>
      </w:pPr>
    </w:p>
    <w:p>
      <w:pPr>
        <w:pStyle w:val="Heading2"/>
        <w:pageBreakBefore/>
        <w:spacing w:after="160" w:before="240"/>
      </w:pPr>
      <w:r>
        <w:t xml:space="preserve">1. System Overview</w:t>
      </w:r>
    </w:p>
    <w:p>
      <w:pPr>
        <w:spacing w:after="160"/>
      </w:pPr>
      <w:r>
        <w:t xml:space="preserve">VMS is an end-to-end e-procurement platform: tenders are created and published, vendors browse and bid, applications go through eligibility screening → review → shortlisting → award, and awarded applications become contracts with generated Work/Purchase Orders. Every step notifies the right people automatically by email (§9), and the platform already exposes a public API ready for a future mobile app and a live tender feed on the university website (§10).</w:t>
      </w:r>
    </w:p>
    <w:p>
      <w:pPr>
        <w:spacing w:after="160"/>
      </w:pPr>
      <w:r>
        <w:rPr>
          <w:b/>
          <w:bCs/>
        </w:rPr>
        <w:t xml:space="preserve">Four roles</w:t>
      </w:r>
      <w:r>
        <w:t xml:space="preserve">, each with its own dashboard and sidebar (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resources/views/layouts/dashboard.blade.php</w:t>
      </w:r>
      <w:r>
        <w:t xml:space="preserve">):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Role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Scope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All tenders, vendors, applications, contracts, users, categories org-wide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Tender Owner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Full lifecycle, but scoped to tenders they own (e.g. the Digital Library, a department)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Committee Member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Read/evaluate access to tenders they're assigned to, with granular per-tender permissions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Vendor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Browse published tenders, apply, track applications/contracts, manage company profile</w:t>
            </w:r>
          </w:p>
        </w:tc>
      </w:tr>
    </w:tbl>
    <w:p>
      <w:pPr>
        <w:spacing w:after="160"/>
      </w:pPr>
    </w:p>
    <w:p>
      <w:pPr>
        <w:pBdr>
          <w:bottom w:val="single" w:color="CBD5E1" w:sz="6"/>
        </w:pBdr>
        <w:spacing w:after="200"/>
      </w:pPr>
    </w:p>
    <w:p>
      <w:pPr>
        <w:pStyle w:val="Heading2"/>
        <w:pageBreakBefore/>
        <w:spacing w:after="160" w:before="240"/>
      </w:pPr>
      <w:r>
        <w:t xml:space="preserve">2. User Roles &amp; Permissions</w:t>
      </w:r>
    </w:p>
    <w:p>
      <w:pPr>
        <w:spacing w:after="160"/>
      </w:pPr>
      <w:r>
        <w:t xml:space="preserve">Permissions are managed with Spatie Permission (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database/seeders/RolePermissionSeeder.php</w:t>
      </w:r>
      <w:r>
        <w:t xml:space="preserve">), and are live-editable by system administrators. Summary: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</w:rPr>
        <w:t xml:space="preserve">admin</w:t>
      </w:r>
      <w:r>
        <w:t xml:space="preserve"> — vendor approval; full tender/application/contract CRUD; documents; committee; reports; user management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</w:rPr>
        <w:t xml:space="preserve">tender-owner</w:t>
      </w:r>
      <w:r>
        <w:t xml:space="preserve"> — own-tender CRUD/publish/close; shortlist/reject/award on own tenders; own contracts; committee management; reports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</w:rPr>
        <w:t xml:space="preserve">vendor</w:t>
      </w:r>
      <w:r>
        <w:t xml:space="preserve"> — view published tenders; submit applications; view own applications/contracts; sign contracts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</w:rPr>
        <w:t xml:space="preserve">committee-member</w:t>
      </w:r>
      <w:r>
        <w:t xml:space="preserve"> — assigned per tender via the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tender_committee</w:t>
      </w:r>
      <w:r>
        <w:t xml:space="preserve"> pivot table, with a JSON permission set (e.g.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shortlist_applications</w:t>
      </w:r>
      <w:r>
        <w:t xml:space="preserve">,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reject_applications</w:t>
      </w:r>
      <w:r>
        <w:t xml:space="preserve">,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upload_documents</w:t>
      </w:r>
      <w:r>
        <w:t xml:space="preserve">) that can differ per assignment</w:t>
      </w:r>
    </w:p>
    <w:p>
      <w:pPr>
        <w:spacing w:after="100"/>
      </w:pPr>
    </w:p>
    <w:p>
      <w:pPr>
        <w:spacing w:after="160"/>
      </w:pPr>
      <w:r>
        <w:t xml:space="preserve">Below is the visual map of who can do what: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BD5E1" w:sz="6"/>
        </w:pBdr>
        <w:spacing w:after="200"/>
      </w:pPr>
    </w:p>
    <w:p>
      <w:pPr>
        <w:pStyle w:val="Heading2"/>
        <w:pageBreakBefore/>
        <w:spacing w:after="160" w:before="240"/>
      </w:pPr>
      <w:r>
        <w:t xml:space="preserve">3. Authentication Screens</w:t>
      </w:r>
    </w:p>
    <w:p>
      <w:pPr>
        <w:pStyle w:val="Heading3"/>
        <w:spacing w:after="160" w:before="240"/>
      </w:pPr>
      <w:r>
        <w:t xml:space="preserve">Login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
Email + password, "remember me", and a link to password reset. Vendors can self-register from here.</w:t>
      </w:r>
    </w:p>
    <w:p>
      <w:pPr>
        <w:pStyle w:val="Heading3"/>
        <w:spacing w:after="160" w:before="240"/>
      </w:pPr>
      <w:r>
        <w:t xml:space="preserve">Vendor Self-Registration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
New vendors create an account here; the resulting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Vendor</w:t>
      </w:r>
      <w:r>
        <w:t xml:space="preserve"> record starts in </w:t>
      </w:r>
      <w:r>
        <w:rPr>
          <w:b/>
          <w:bCs/>
        </w:rPr>
        <w:t xml:space="preserve">pending</w:t>
      </w:r>
      <w:r>
        <w:t xml:space="preserve"> status and must be approved before the vendor can apply to tenders. See §13 for this screen used in a real registration.</w:t>
      </w:r>
    </w:p>
    <w:p>
      <w:pPr>
        <w:pStyle w:val="Heading3"/>
        <w:spacing w:after="160" w:before="240"/>
      </w:pPr>
      <w:r>
        <w:t xml:space="preserve">Forgot Password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
Sends a reset link by email.</w:t>
      </w:r>
    </w:p>
    <w:p>
      <w:r>
        <w:br w:type="page"/>
      </w:r>
    </w:p>
    <w:p>
      <w:pPr>
        <w:pStyle w:val="Heading3"/>
        <w:spacing w:after="160" w:before="240"/>
      </w:pPr>
      <w:r>
        <w:t xml:space="preserve">Login &amp; Role-Based Redirect Flow</w:t>
      </w:r>
    </w:p>
    <w:p>
      <w:pPr>
        <w:spacing w:after="160"/>
      </w:pPr>
      <w:r>
        <w:t xml:space="preserve">One login form, four different landing dashboards. Verified against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AuthController@login</w:t>
      </w:r>
      <w:r>
        <w:t xml:space="preserve"> — including the account-inactive and vendor-pending-approval gates that log a user back out before they ever see a dashboard.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753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BD5E1" w:sz="6"/>
        </w:pBdr>
        <w:spacing w:after="200"/>
      </w:pPr>
    </w:p>
    <w:p>
      <w:pPr>
        <w:pStyle w:val="Heading2"/>
        <w:pageBreakBefore/>
        <w:spacing w:after="160" w:before="240"/>
      </w:pPr>
      <w:r>
        <w:t xml:space="preserve">4. Admin Manual</w:t>
      </w:r>
    </w:p>
    <w:p>
      <w:pPr>
        <w:spacing w:after="160"/>
      </w:pPr>
      <w:r>
        <w:t xml:space="preserve">Login: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purchaseofficer@vmu.edu.in</w:t>
      </w:r>
    </w:p>
    <w:p>
      <w:pPr>
        <w:pStyle w:val="Heading3"/>
        <w:spacing w:after="160" w:before="240"/>
      </w:pPr>
      <w:r>
        <w:t xml:space="preserve">Dashboard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875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75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
KPI overview: vendor counts by status, tender counts by status/type, application funnel, trend charts, recent tenders, pending vendor approvals.</w:t>
      </w:r>
    </w:p>
    <w:p>
      <w:pPr>
        <w:pStyle w:val="Heading3"/>
        <w:spacing w:after="160" w:before="240"/>
      </w:pPr>
      <w:r>
        <w:t xml:space="preserve">Vendor Management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All Vendors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Vendor Detail (modal)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Vendors List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Vendor Detail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Approve, reject, suspend/reactivate vendors; assign categories; bulk-approve; export to CSV. See §13 for a real vendor being approved through this screen.</w:t>
      </w:r>
    </w:p>
    <w:p>
      <w:pPr>
        <w:pStyle w:val="Heading3"/>
        <w:spacing w:after="160" w:before="240"/>
      </w:pPr>
      <w:r>
        <w:t xml:space="preserve">Tender Management</w:t>
      </w:r>
    </w:p>
    <w:p>
      <w:pPr>
        <w:spacing w:after="160"/>
      </w:pPr>
      <w:r>
        <w:rPr>
          <w:b/>
          <w:bCs/>
        </w:rPr>
        <w:t xml:space="preserve">All Tenders</w:t>
      </w:r>
      <w:r>
        <w:t xml:space="preserve"> — searchable/filterable list with status badges, application counts, and quick actions.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602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Create Tender</w:t>
      </w:r>
      <w:r>
        <w:t xml:space="preserve"> — title, description, deadlines, tender type (online/postal), estimated value, EMD amount, private/public visibility, eligibility questions, and vendor notification options — all in one form.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1191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91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Tender Detail (published)</w:t>
      </w:r>
      <w:r>
        <w:t xml:space="preserve">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Edit Tender</w:t>
      </w:r>
      <w:r>
        <w:t xml:space="preserve">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1541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4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Eligibility Questions</w:t>
      </w:r>
      <w:r>
        <w:t xml:space="preserve"> — build the pre-bid screening questionnaire (text, dropdown, radio, checkbox, number, date, file), and mark which answers are "eligible". See §8 diagram 3 for exactly how the pass/fail logic works.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1022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22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Tender Analytics</w:t>
      </w:r>
      <w:r>
        <w:t xml:space="preserve"> — views, unique visitors, application funnel for this tender.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32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Draft Tender Detail</w:t>
      </w:r>
      <w:r>
        <w:t xml:space="preserve">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36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Manage Committee</w:t>
      </w:r>
      <w:r>
        <w:t xml:space="preserve"> — assign evaluators to this specific tender with scoped permissions.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Application Management</w:t>
      </w:r>
    </w:p>
    <w:p>
      <w:pPr>
        <w:spacing w:after="160"/>
      </w:pPr>
      <w:r>
        <w:rPr>
          <w:b/>
          <w:bCs/>
        </w:rPr>
        <w:t xml:space="preserve">All Applications</w:t>
      </w:r>
      <w:r>
        <w:t xml:space="preserve"> — every application ever received, across all tenders. This is where "application received" turns into a decision: shortlist it, reject it, or (once shortlisted) award it.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Application Detail</w:t>
      </w:r>
      <w:r>
        <w:t xml:space="preserve"> — vendor's proposal, status, Shortlist/Reject actions, and the query/discussion thread.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70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Award Application &amp; Create Work/Purchase Order</w:t>
      </w:r>
      <w:r>
        <w:t xml:space="preserve"> — turns a shortlisted application into a contract. Signature collection is a per-tender choice the Tender Owner made at creation time, not a fixed requirement — see §8 diagram 5.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813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Contract Management</w:t>
      </w:r>
    </w:p>
    <w:p>
      <w:pPr>
        <w:spacing w:after="160"/>
      </w:pPr>
      <w:r>
        <w:rPr>
          <w:b/>
          <w:bCs/>
        </w:rPr>
        <w:t xml:space="preserve">All Contracts</w:t>
      </w:r>
      <w:r>
        <w:t xml:space="preserve">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Contract Detail</w:t>
      </w:r>
      <w:r>
        <w:t xml:space="preserve">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Eligibility Failures</w:t>
      </w:r>
      <w:r>
        <w:t xml:space="preserve"> — vendors who attempted to apply but failed the eligibility screen.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623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Reports</w:t>
      </w:r>
      <w:r>
        <w:t xml:space="preserve">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73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Notifications</w:t>
      </w:r>
      <w:r>
        <w:t xml:space="preserve">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34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System Administration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Users List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 User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Users List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 User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Categories</w:t>
      </w:r>
      <w:r>
        <w:t xml:space="preserve">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Terms &amp; Conditions (Masters)</w:t>
      </w:r>
      <w:r>
        <w:t xml:space="preserve">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637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My Profile</w:t>
      </w:r>
      <w:r>
        <w:t xml:space="preserve"> (shared by all roles)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88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BD5E1" w:sz="6"/>
        </w:pBdr>
        <w:spacing w:after="200"/>
      </w:pPr>
    </w:p>
    <w:p>
      <w:pPr>
        <w:pStyle w:val="Heading2"/>
        <w:pageBreakBefore/>
        <w:spacing w:after="160" w:before="240"/>
      </w:pPr>
      <w:r>
        <w:t xml:space="preserve">5. Tender Owner Manual</w:t>
      </w:r>
    </w:p>
    <w:p>
      <w:pPr>
        <w:spacing w:after="160"/>
      </w:pPr>
      <w:r>
        <w:t xml:space="preserve">Login: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test@gmail.com</w:t>
      </w:r>
    </w:p>
    <w:p>
      <w:pPr>
        <w:spacing w:after="160"/>
      </w:pPr>
      <w:r>
        <w:t xml:space="preserve">Everything below mirrors the Admin tender/application/contract screens, pre-filtered to "my tenders" and enforced server-side via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User::canAccessTender()</w:t>
      </w:r>
      <w:r>
        <w:t xml:space="preserve"> /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canManageTender()</w:t>
      </w:r>
      <w:r>
        <w:t xml:space="preserve">. §13 walks this role through a complete real tender end-to-end — create, publish, receive an application, shortlist it, award it, and get the contract signed.</w:t>
      </w:r>
    </w:p>
    <w:p>
      <w:pPr>
        <w:pStyle w:val="Heading3"/>
        <w:spacing w:after="160" w:before="240"/>
      </w:pPr>
      <w:r>
        <w:t xml:space="preserve">Dashboard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760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My Tenders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Create Tender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1181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8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Tender Detail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Edit Tender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965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65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Manage Committee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Applications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List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Detail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Applications List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Application Detail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An application arriving here is just the start: from </w:t>
      </w:r>
      <w:r>
        <w:rPr>
          <w:b/>
          <w:bCs/>
        </w:rPr>
        <w:t xml:space="preserve">Received</w:t>
      </w:r>
      <w:r>
        <w:t xml:space="preserve"> (submitted), the Tender Owner can </w:t>
      </w:r>
      <w:r>
        <w:rPr>
          <w:b/>
          <w:bCs/>
        </w:rPr>
        <w:t xml:space="preserve">Shortlist</w:t>
      </w:r>
      <w:r>
        <w:t xml:space="preserve"> it, then </w:t>
      </w:r>
      <w:r>
        <w:rPr>
          <w:b/>
          <w:bCs/>
        </w:rPr>
        <w:t xml:space="preserve">Award</w:t>
      </w:r>
      <w:r>
        <w:t xml:space="preserve"> it from the Applications list (trophy icon) — which is what actually generates the contract and Work/Purchase Order. Awarding requires the application to have been shortlisted first; there's no way to award a raw submission directly.</w:t>
      </w:r>
    </w:p>
    <w:p>
      <w:pPr>
        <w:pStyle w:val="Heading3"/>
        <w:spacing w:after="160" w:before="240"/>
      </w:pPr>
      <w:r>
        <w:t xml:space="preserve">Contracts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List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Detail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Contracts List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Contract Detail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Eligibility Failures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Reports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Notifications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BD5E1" w:sz="6"/>
        </w:pBdr>
        <w:spacing w:after="200"/>
      </w:pPr>
    </w:p>
    <w:p>
      <w:pPr>
        <w:pStyle w:val="Heading2"/>
        <w:pageBreakBefore/>
        <w:spacing w:after="160" w:before="240"/>
      </w:pPr>
      <w:r>
        <w:t xml:space="preserve">6. Vendor Manual</w:t>
      </w:r>
    </w:p>
    <w:p>
      <w:pPr>
        <w:spacing w:after="160"/>
      </w:pPr>
      <w:r>
        <w:t xml:space="preserve">Login: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innovcomp@gmail.com</w:t>
      </w:r>
    </w:p>
    <w:p>
      <w:pPr>
        <w:pStyle w:val="Heading3"/>
        <w:spacing w:after="160" w:before="240"/>
      </w:pPr>
      <w:r>
        <w:t xml:space="preserve">Dashboard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817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Browse Tenders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Online Tenders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Postal Tenders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Online Tenders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Postal Tenders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Tender Detail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42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
For </w:t>
      </w:r>
      <w:r>
        <w:rPr>
          <w:b/>
          <w:bCs/>
        </w:rPr>
        <w:t xml:space="preserve">postal</w:t>
      </w:r>
      <w:r>
        <w:t xml:space="preserve"> tenders, the submission address and downloadable documents stay locked until the vendor passes the eligibility check.</w:t>
      </w:r>
    </w:p>
    <w:p>
      <w:pPr>
        <w:pStyle w:val="Heading3"/>
        <w:spacing w:after="160" w:before="240"/>
      </w:pPr>
      <w:r>
        <w:t xml:space="preserve">Apply to a Tender (2–3 step wizard)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658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
Step 1: tender details/documents. Step 2 (if the tender has eligibility questions): dynamic questionnaire, checked live via AJAX. Step 3: bid/technical/financial proposal, unlocked only after passing. See §13 for this entire flow captured live, step by step.</w:t>
      </w:r>
    </w:p>
    <w:p>
      <w:pPr>
        <w:pStyle w:val="Heading3"/>
        <w:spacing w:after="160" w:before="240"/>
      </w:pPr>
      <w:r>
        <w:t xml:space="preserve">My Applications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List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Detail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Applications List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Application Detail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My Contracts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
Once awarded, the vendor signs here. Whether a counter-signature from the University is also required depends on how the Tender Owner configured that specific tender (§8 diagram 5) — for a standing rate contract, the Tender Owner may choose to skip formal signing entirely and activate the contract immediately on award.</w:t>
      </w:r>
    </w:p>
    <w:p>
      <w:pPr>
        <w:pStyle w:val="Heading3"/>
        <w:spacing w:after="160" w:before="240"/>
      </w:pPr>
      <w:r>
        <w:t xml:space="preserve">Company Profile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46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Notifications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BD5E1" w:sz="6"/>
        </w:pBdr>
        <w:spacing w:after="200"/>
      </w:pPr>
    </w:p>
    <w:p>
      <w:pPr>
        <w:pStyle w:val="Heading2"/>
        <w:pageBreakBefore/>
        <w:spacing w:after="160" w:before="240"/>
      </w:pPr>
      <w:r>
        <w:t xml:space="preserve">7. Committee Member Manual</w:t>
      </w:r>
    </w:p>
    <w:p>
      <w:pPr>
        <w:spacing w:after="160"/>
      </w:pPr>
      <w:r>
        <w:t xml:space="preserve">Login: a demo account (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committee.demo@example.com</w:t>
      </w:r>
      <w:r>
        <w:t xml:space="preserve">) for the static screenshots below; §13 shows a </w:t>
      </w:r>
      <w:r>
        <w:rPr>
          <w:i/>
          <w:iCs/>
        </w:rPr>
        <w:t xml:space="preserve">second</w:t>
      </w:r>
      <w:r>
        <w:t xml:space="preserve"> committee member created live through the actual "Manage Committee" UI, the way a Tender Owner would really do it.</w:t>
      </w:r>
    </w:p>
    <w:p>
      <w:pPr>
        <w:spacing w:after="160"/>
      </w:pPr>
      <w:r>
        <w:t xml:space="preserve">Committee members are assigned to specific tenders by the Admin/Tender Owner with a scoped JSON permission set. This role gives evaluators visibility without full tender-management rights.</w:t>
      </w:r>
    </w:p>
    <w:p>
      <w:pPr>
        <w:pStyle w:val="Heading3"/>
        <w:spacing w:after="160" w:before="240"/>
      </w:pPr>
      <w:r>
        <w:t xml:space="preserve">Dashboard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My Assigned Tenders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Applications to Review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BD5E1" w:sz="6"/>
        </w:pBdr>
        <w:spacing w:after="200"/>
      </w:pPr>
    </w:p>
    <w:p>
      <w:pPr>
        <w:pStyle w:val="Heading2"/>
        <w:pageBreakBefore/>
        <w:spacing w:after="160" w:before="240"/>
      </w:pPr>
      <w:r>
        <w:t xml:space="preserve">8. Tender → Application → Contract Lifecycle (with flowcharts)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</w:rPr>
        <w:t xml:space="preserve">Tender</w:t>
      </w:r>
      <w:r>
        <w:t xml:space="preserve">: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draft → published → closed</w:t>
      </w:r>
      <w:r>
        <w:t xml:space="preserve"> (created with eligibility questions in one form; publishes manually or automatically at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start_date</w:t>
      </w:r>
      <w:r>
        <w:t xml:space="preserve"> if auto-publish was checked — this scheduled job now runs correctly, see §12)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</w:rPr>
        <w:t xml:space="preserve">Application received</w:t>
      </w:r>
      <w:r>
        <w:t xml:space="preserve">: vendor passes an </w:t>
      </w:r>
      <w:r>
        <w:rPr>
          <w:b/>
          <w:bCs/>
        </w:rPr>
        <w:t xml:space="preserve">eligibility check</w:t>
      </w:r>
      <w:r>
        <w:t xml:space="preserve"> (or is blocked, logged as an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EligibilityFailure</w:t>
      </w:r>
      <w:r>
        <w:t xml:space="preserve">) → status becomes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submitted</w:t>
      </w:r>
      <w:r>
        <w:t xml:space="preserve"> ("received")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</w:rPr>
        <w:t xml:space="preserve">Shortlist → Award</w:t>
      </w:r>
      <w:r>
        <w:t xml:space="preserve">: the Tender Owner or Admin reviews the received application, </w:t>
      </w:r>
      <w:r>
        <w:rPr>
          <w:b/>
          <w:bCs/>
        </w:rPr>
        <w:t xml:space="preserve">shortlists</w:t>
      </w:r>
      <w:r>
        <w:t xml:space="preserve"> it, then </w:t>
      </w:r>
      <w:r>
        <w:rPr>
          <w:b/>
          <w:bCs/>
        </w:rPr>
        <w:t xml:space="preserve">awards</w:t>
      </w:r>
      <w:r>
        <w:t xml:space="preserve"> it — awarding is what generates the contract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</w:rPr>
        <w:t xml:space="preserve">Contract signing is optional, by design</w:t>
      </w:r>
      <w:r>
        <w:t xml:space="preserve">: whether the vendor (and University) must formally sign before the contract activates is a checkbox the Tender Owner sets per tender — see diagram 5 below for both paths and a gap found while testing the "signing required" path</w:t>
      </w:r>
    </w:p>
    <w:p>
      <w:pPr>
        <w:spacing w:after="100"/>
      </w:pPr>
    </w:p>
    <w:p>
      <w:r>
        <w:br w:type="page"/>
      </w:r>
    </w:p>
    <w:p>
      <w:pPr>
        <w:pStyle w:val="Heading3"/>
        <w:spacing w:after="160" w:before="240"/>
      </w:pPr>
      <w:r>
        <w:t xml:space="preserve">Tender Lifecycle (State Machine)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768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160" w:before="240"/>
      </w:pPr>
      <w:r>
        <w:t xml:space="preserve">Vendor Eligibility Check — Decision Logic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160" w:before="240"/>
      </w:pPr>
      <w:r>
        <w:t xml:space="preserve">Vendor Application Lifecycle — Received → Shortlisted → Awarded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34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160" w:before="240"/>
      </w:pPr>
      <w:r>
        <w:t xml:space="preserve">Contract &amp; Work/Purchase Order — Signing Is Optional, By Design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160" w:before="240"/>
      </w:pPr>
      <w:r>
        <w:t xml:space="preserve">Vendor Registration &amp; Approval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160" w:before="240"/>
      </w:pPr>
      <w:r>
        <w:t xml:space="preserve">End-to-End Procurement Flow (Sequence Diagram) — as live-verified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653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BD5E1" w:sz="6"/>
        </w:pBdr>
        <w:spacing w:after="200"/>
      </w:pPr>
    </w:p>
    <w:p>
      <w:pPr>
        <w:pStyle w:val="Heading2"/>
        <w:pageBreakBefore/>
        <w:spacing w:after="160" w:before="240"/>
      </w:pPr>
      <w:r>
        <w:t xml:space="preserve">9. Automatic Email Notifications</w:t>
      </w:r>
    </w:p>
    <w:p>
      <w:r>
        <w:br w:type="page"/>
      </w:r>
    </w:p>
    <w:p>
      <w:pPr>
        <w:spacing w:after="160"/>
      </w:pPr>
      <w:r>
        <w:t xml:space="preserve">Every step of the process notifies the right person automatically — nobody has to remember to tell a vendor their application was received, shortlisted, or awarded. This was verified by reading every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Mail::to(...)-&gt;send(...)</w:t>
      </w:r>
      <w:r>
        <w:t xml:space="preserve"> call in the codebase, not assumed.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46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bCs/>
        </w:rPr>
        <w:t xml:space="preserve">In plain terms: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Trigger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Who gets emailed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Vendor registers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Admin staff — new vendor pending approval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Vendor approved / rejected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vendor, either way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Tender published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Matching vendors — </w:t>
            </w:r>
            <w:r>
              <w:rPr>
                <w:b/>
                <w:bCs/>
              </w:rPr>
              <w:t xml:space="preserve">only if</w:t>
            </w:r>
            <w:r>
              <w:t xml:space="preserve"> the Tender Owner checked "notify vendors on publish"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Tender closed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Relevant vendors, with the reason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Committee member added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That person, with their role/designation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Vendor fails eligibility check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Both the vendor </w:t>
            </w:r>
            <w:r>
              <w:rPr>
                <w:b/>
                <w:bCs/>
              </w:rPr>
              <w:t xml:space="preserve">and</w:t>
            </w:r>
            <w:r>
              <w:t xml:space="preserve"> the Tender Owner/Admin, naming which question(s) failed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Application submitted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Vendor gets a confirmation; Tender Owner/Admin gets a "new application" alert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Application shortlisted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vendor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Application rejected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vendor, with the reason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Application awarded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vendor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Work/Purchase Order generated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vendor, with the order document attached as a PDF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Every one of these is wrapped in its own try/catch — a failed email (e.g. a temporary SMTP hiccup) never blocks the underlying action. Approvals, publishes, shortlists, and awards all still go through even if a notification fails to send; the failure is only logged.</w:t>
      </w:r>
    </w:p>
    <w:p>
      <w:pPr>
        <w:pBdr>
          <w:bottom w:val="single" w:color="CBD5E1" w:sz="6"/>
        </w:pBdr>
        <w:spacing w:after="200"/>
      </w:pPr>
    </w:p>
    <w:p>
      <w:pPr>
        <w:pStyle w:val="Heading2"/>
        <w:pageBreakBefore/>
        <w:spacing w:after="160" w:before="240"/>
      </w:pPr>
      <w:r>
        <w:t xml:space="preserve">10. Future-Ready: Mobile App &amp; Public Website Integration</w:t>
      </w:r>
    </w:p>
    <w:p>
      <w:pPr>
        <w:spacing w:after="160"/>
      </w:pPr>
      <w:r>
        <w:t xml:space="preserve">The portal was built with more than the internal dashboards in mind. It already exposes a public, unauthenticated, CORS-enabled JSON API — the same foundation a mobile app and a live tender feed on the main university website would both need, with no additional backend work required to switch either one on.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</w:rPr>
        <w:t xml:space="preserve">University website integration</w:t>
      </w:r>
      <w:r>
        <w:t xml:space="preserve">: the main site can embed a live "Current Tenders" widget with a single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fetch()</w:t>
      </w:r>
      <w:r>
        <w:t xml:space="preserve"> call to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GET /api/public/university/tenders</w:t>
      </w:r>
      <w:r>
        <w:t xml:space="preserve"> — no manual copying of tender details onto the website, no second place for information to go stale. Only tenders the Tender Owner explicitly flags "show on university site" appear here.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</w:rPr>
        <w:t xml:space="preserve">Mobile app readiness</w:t>
      </w:r>
      <w:r>
        <w:t xml:space="preserve">: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GET /api/public/tenders</w:t>
      </w:r>
      <w:r>
        <w:t xml:space="preserve"> and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GET /api/public/tenders/{id}</w:t>
      </w:r>
      <w:r>
        <w:t xml:space="preserve"> already return everything a mobile listing/detail screen would need (title, dates, value, documents), rate-limited to 120 requests/minute per visitor and open to any origin. A future iOS/Android app — or a vendor-facing "apply from your phone" experience — can be built against these same endpoints without touching the server.</w:t>
      </w:r>
    </w:p>
    <w:p>
      <w:pPr>
        <w:spacing w:after="100"/>
      </w:pPr>
    </w:p>
    <w:p>
      <w:pPr>
        <w:pBdr>
          <w:bottom w:val="single" w:color="CBD5E1" w:sz="6"/>
        </w:pBdr>
        <w:spacing w:after="200"/>
      </w:pPr>
    </w:p>
    <w:p>
      <w:pPr>
        <w:pStyle w:val="Heading2"/>
        <w:pageBreakBefore/>
        <w:spacing w:after="160" w:before="240"/>
      </w:pPr>
      <w:r>
        <w:t xml:space="preserve">11. Data Model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BD5E1" w:sz="6"/>
        </w:pBdr>
        <w:spacing w:after="200"/>
      </w:pPr>
    </w:p>
    <w:p>
      <w:pPr>
        <w:pStyle w:val="Heading2"/>
        <w:pageBreakBefore/>
        <w:spacing w:after="160" w:before="240"/>
      </w:pPr>
      <w:r>
        <w:t xml:space="preserve">12. Known Issues Found During This Review</w:t>
      </w:r>
    </w:p>
    <w:p>
      <w:pPr>
        <w:spacing w:after="160"/>
      </w:pPr>
      <w:r>
        <w:t xml:space="preserve">Several real, verified bugs were found and fixed live during this review — not just documented. Two remain open.</w:t>
      </w:r>
    </w:p>
    <w:p>
      <w:pPr>
        <w:pStyle w:val="Heading3"/>
        <w:spacing w:after="160" w:before="240"/>
      </w:pPr>
      <w:r>
        <w:t xml:space="preserve">🟢 Fixed — Auto-publish silently did nothing</w:t>
      </w:r>
    </w:p>
    <w:p>
      <w:pPr>
        <w:spacing w:after="160"/>
      </w:pPr>
      <w:r>
        <w:t xml:space="preserve">Tenders with "auto-publish on start date" checked stayed stuck in Draft indefinitely. The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tenders:auto-publish</w:t>
      </w:r>
      <w:r>
        <w:t xml:space="preserve"> command itself was correct — running it manually published tenders instantly — but </w:t>
      </w:r>
      <w:r>
        <w:rPr>
          <w:b/>
          <w:bCs/>
        </w:rPr>
        <w:t xml:space="preserve">nothing on the server was ever calling Laravel's scheduler</w:t>
      </w:r>
      <w:r>
        <w:t xml:space="preserve">. On Windows/XAMPP there is no cron; Laravel's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Schedule::command(...)-&gt;everyFifteenMinutes()</w:t>
      </w:r>
      <w:r>
        <w:t xml:space="preserve"> only defines </w:t>
      </w:r>
      <w:r>
        <w:rPr>
          <w:i/>
          <w:iCs/>
        </w:rPr>
        <w:t xml:space="preserve">what</w:t>
      </w:r>
      <w:r>
        <w:t xml:space="preserve"> to run, and something external has to trigger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php artisan schedule:run</w:t>
      </w:r>
      <w:r>
        <w:t xml:space="preserve"> every minute for anything to actually fire. That trigger never existed here. </w:t>
      </w:r>
      <w:r>
        <w:rPr>
          <w:b/>
          <w:bCs/>
        </w:rPr>
        <w:t xml:space="preserve">Fixed</w:t>
      </w:r>
      <w:r>
        <w:t xml:space="preserve"> by registering a Windows Scheduled Task ("VMS Laravel Scheduler") that runs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php artisan schedule:run</w:t>
      </w:r>
      <w:r>
        <w:t xml:space="preserve"> every minute — verified live (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LastTaskResult: 0</w:t>
      </w:r>
      <w:r>
        <w:t xml:space="preserve">, tender auto-published on the next tick).</w:t>
      </w:r>
    </w:p>
    <w:p>
      <w:pPr>
        <w:pStyle w:val="Heading3"/>
        <w:spacing w:after="160" w:before="240"/>
      </w:pPr>
      <w:r>
        <w:t xml:space="preserve">🟢 Fixed — Vendor approve/reject/suspend/activate/view were all silently broken</w:t>
      </w:r>
    </w:p>
    <w:p>
      <w:pPr>
        <w:spacing w:after="160"/>
      </w:pPr>
      <w:r>
        <w:t xml:space="preserve">This is more serious than a single screen. The vendor list's approve, reject, suspend, activate, view-details, categories, and delete actions all derived their API path from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window.location.pathname.split('/')[1]</w:t>
      </w:r>
      <w:r>
        <w:t xml:space="preserve">. Because this app is deployed under a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/vms-system/</w:t>
      </w:r>
      <w:r>
        <w:t xml:space="preserve"> subpath (not domain root), that always evaluated to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"vms-system"</w:t>
      </w:r>
      <w:r>
        <w:t xml:space="preserve"> instead of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"admin"</w:t>
      </w:r>
      <w:r>
        <w:t xml:space="preserve">, so </w:t>
      </w:r>
      <w:r>
        <w:rPr>
          <w:b/>
          <w:bCs/>
        </w:rPr>
        <w:t xml:space="preserve">every one of those six actions silently 404'd</w:t>
      </w:r>
      <w:r>
        <w:t xml:space="preserve"> — clicking "Approve" showed a success-looking modal, but the vendor's status never actually changed in the database. Confirmed live: a vendor approved during an earlier documentation pass was still "Pending" days later. </w:t>
      </w:r>
      <w:r>
        <w:rPr>
          <w:b/>
          <w:bCs/>
        </w:rPr>
        <w:t xml:space="preserve">Fixed</w:t>
      </w:r>
      <w:r>
        <w:t xml:space="preserve"> by deriving the role prefix from the authenticated user's actual role server-side instead of parsing the URL, across all six occurrences in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admin/vendors/index.blade.php</w:t>
      </w:r>
      <w:r>
        <w:t xml:space="preserve">. Re-verified live — approvals now persist correctly.</w:t>
      </w:r>
    </w:p>
    <w:p>
      <w:pPr>
        <w:pStyle w:val="Heading3"/>
        <w:spacing w:after="160" w:before="240"/>
      </w:pPr>
      <w:r>
        <w:t xml:space="preserve">🟢 Fixed — Tender Owners shortlisting/rejecting sent no email to the vendor</w:t>
      </w:r>
    </w:p>
    <w:p>
      <w:pPr>
        <w:spacing w:after="160"/>
      </w:pPr>
      <w:r>
        <w:t xml:space="preserve">The Admin-side shortlist/reject endpoints emailed the vendor; the Tender-Owner-side ones (used by the actual "Manage My Tenders" workflow) did not — a vendor applying to a Tender-Owner-run tender got silence instead of a decision email. </w:t>
      </w:r>
      <w:r>
        <w:rPr>
          <w:b/>
          <w:bCs/>
        </w:rPr>
        <w:t xml:space="preserve">Fixed</w:t>
      </w:r>
      <w:r>
        <w:t xml:space="preserve"> by adding the same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ApplicationShortlistedMail</w:t>
      </w:r>
      <w:r>
        <w:t xml:space="preserve">/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ApplicationRejectedByAdminMail</w:t>
      </w:r>
      <w:r>
        <w:t xml:space="preserve"> notifications to the Tender Owner's controller, matching the Admin path exactly.</w:t>
      </w:r>
    </w:p>
    <w:p>
      <w:pPr>
        <w:pStyle w:val="Heading3"/>
        <w:spacing w:after="160" w:before="240"/>
      </w:pPr>
      <w:r>
        <w:t xml:space="preserve">🔴 Open — Unauthenticated "force login" route</w:t>
      </w:r>
    </w:p>
    <w:p>
      <w:pPr>
        <w:spacing w:after="16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routes/web.php:433</w:t>
      </w:r>
      <w:r>
        <w:t xml:space="preserve"> —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GET /force-login/{email}</w:t>
      </w:r>
      <w:r>
        <w:t xml:space="preserve"> logs in as </w:t>
      </w:r>
      <w:r>
        <w:rPr>
          <w:b/>
          <w:bCs/>
        </w:rPr>
        <w:t xml:space="preserve">any user, by email alone, no password check</w:t>
      </w:r>
      <w:r>
        <w:t xml:space="preserve">. Combined with an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.env</w:t>
      </w:r>
      <w:r>
        <w:t xml:space="preserve">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APP_URL</w:t>
      </w:r>
      <w:r>
        <w:t xml:space="preserve"> pointing at a real LAN address rather than localhost, anyone on the network who knows or guesses a user's email gets instant, full-privilege access. </w:t>
      </w:r>
      <w:r>
        <w:rPr>
          <w:b/>
          <w:bCs/>
        </w:rPr>
        <w:t xml:space="preserve">Recommend removing it entirely, or gating it behind </w:t>
      </w:r>
      <w:r>
        <w:rPr>
          <w:rFonts w:ascii="Consolas" w:cs="Consolas" w:eastAsia="Consolas" w:hAnsi="Consolas"/>
          <w:b/>
          <w:bCs/>
          <w:color w:val="B91C1C"/>
          <w:shd w:fill="F1F5F9" w:val="clear"/>
        </w:rPr>
        <w:t xml:space="preserve">if (app()-&gt;environment('local'))</w:t>
      </w:r>
      <w:r>
        <w:rPr>
          <w:b/>
          <w:bCs/>
        </w:rPr>
        <w:t xml:space="preserve">, before this instance is reachable from anywhere but a developer's own machine.</w:t>
      </w:r>
    </w:p>
    <w:p>
      <w:pPr>
        <w:pStyle w:val="Heading3"/>
        <w:spacing w:after="160" w:before="240"/>
      </w:pPr>
      <w:r>
        <w:t xml:space="preserve">🟠 Open — No UI path to counter-sign a contract once signing is required</w:t>
      </w:r>
    </w:p>
    <w:p>
      <w:pPr>
        <w:spacing w:after="160"/>
      </w:pPr>
      <w:r>
        <w:t xml:space="preserve">Confirmed by live-testing the full award → sign flow (§13): when a tender has "Require Contract Signing" checked, awarding creates a contract in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draft</w:t>
      </w:r>
      <w:r>
        <w:t xml:space="preserve"> status. The vendor can sign it, but </w:t>
      </w:r>
      <w:r>
        <w:rPr>
          <w:b/>
          <w:bCs/>
        </w:rPr>
        <w:t xml:space="preserve">no button anywhere in the Admin or Tender-Owner contract view calls the counter-sign endpoint</w:t>
      </w:r>
      <w:r>
        <w:t xml:space="preserve"> — the route exists, it's just never wired to a control. The contract is stuck at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draft</w:t>
      </w:r>
      <w:r>
        <w:t xml:space="preserve"> through the UI unless "Require Contract Signing" was left unchecked at tender creation (which auto-activates on award instead). </w:t>
      </w:r>
      <w:r>
        <w:rPr>
          <w:b/>
          <w:bCs/>
        </w:rPr>
        <w:t xml:space="preserve">Fix:</w:t>
      </w:r>
      <w:r>
        <w:t xml:space="preserve"> add a "Countersign Contract" button to the contract detail view, shown when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signed_by_vendor &amp;&amp; !signed_by_admin</w:t>
      </w:r>
      <w:r>
        <w:t xml:space="preserve">.</w:t>
      </w:r>
    </w:p>
    <w:p>
      <w:pPr>
        <w:pBdr>
          <w:bottom w:val="single" w:color="CBD5E1" w:sz="6"/>
        </w:pBdr>
        <w:spacing w:after="200"/>
      </w:pPr>
    </w:p>
    <w:p>
      <w:pPr>
        <w:pStyle w:val="Heading2"/>
        <w:pageBreakBefore/>
        <w:spacing w:after="160" w:before="240"/>
      </w:pPr>
      <w:r>
        <w:t xml:space="preserve">13. Live End-to-End Walkthrough</w:t>
      </w:r>
    </w:p>
    <w:p>
      <w:pPr>
        <w:spacing w:after="160"/>
      </w:pPr>
      <w:r>
        <w:t xml:space="preserve">Everything above shows what each screen looks like. This section shows the system </w:t>
      </w:r>
      <w:r>
        <w:rPr>
          <w:b/>
          <w:bCs/>
        </w:rPr>
        <w:t xml:space="preserve">actually being used</w:t>
      </w:r>
      <w:r>
        <w:t xml:space="preserve"> — every screenshot below is a real HTTP request/response against the live app, driven by a script that filled in real forms and clicked real buttons (not just page visits), captured 2026-07-03. Where the app sends real email notifications (Gmail SMTP is configured), those fired for real during this run.</w:t>
      </w:r>
    </w:p>
    <w:p>
      <w:pPr>
        <w:spacing w:after="160"/>
      </w:pPr>
      <w:r>
        <w:rPr>
          <w:b/>
          <w:bCs/>
        </w:rPr>
        <w:t xml:space="preserve">The story:</w:t>
      </w:r>
      <w:r>
        <w:t xml:space="preserve"> a new vendor registers and gets properly approved (using the now-fixed approval flow) → a Tender Owner creates and publishes a Library Vendor Rate Contract tender, adding a real committee member along the way → an existing vendor discovers it, passes eligibility, and applies → the Tender Owner reviews, shortlists, and awards it, generating a Work Order → the vendor signs the resulting contract.</w:t>
      </w:r>
    </w:p>
    <w:p>
      <w:pPr>
        <w:pStyle w:val="Heading3"/>
        <w:spacing w:after="160" w:before="240"/>
      </w:pPr>
      <w:r>
        <w:t xml:space="preserve">Step 1 — New vendor self-registers</w:t>
      </w:r>
    </w:p>
    <w:p>
      <w:pPr>
        <w:spacing w:after="160"/>
      </w:pPr>
      <w:r>
        <w:t xml:space="preserve">"Arjun Mehta" registers "Chennai Library Suppliers Pvt Ltd" (no GST, one MSME-style certificate uploaded instead — exercising the alternate-to-GST path).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Empty form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Filled form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Success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Register empty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Register filled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Register success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Step 2 — Admin approves the new vendor</w:t>
      </w:r>
    </w:p>
    <w:p>
      <w:pPr>
        <w:spacing w:after="160"/>
      </w:pPr>
      <w:r>
        <w:t xml:space="preserve">Using the now-fixed approve action — confirmed to actually persist this time, not just show a success toast.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683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670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683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Step 3 — Tender Owner creates a new tender</w:t>
      </w:r>
    </w:p>
    <w:p>
      <w:pPr>
        <w:spacing w:after="16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test@gmail.com</w:t>
      </w:r>
      <w:r>
        <w:t xml:space="preserve"> creates </w:t>
      </w:r>
      <w:r>
        <w:rPr>
          <w:b/>
          <w:bCs/>
        </w:rPr>
        <w:t xml:space="preserve">"Library Vendor Rate Contract"</w:t>
      </w:r>
      <w:r>
        <w:t xml:space="preserve"> (TDR-2026-0022) — directly mirroring the Digital Librarian's original request that started this whole project (§ project history, presentation deck) — with two eligibility questions built inline: one radio question that gates eligibility, one free-text reference-check question that's required but not eligibility-gating.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Empty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Questions built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Fully filled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 empty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Questions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Filled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Resulting tender, still in draft — landing back on the Tender Owner's dashboard, which is where tender creation actually redirects to: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760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Step 4 — Committee member created live through the UI</w:t>
      </w:r>
    </w:p>
    <w:p>
      <w:pPr>
        <w:spacing w:after="160"/>
      </w:pPr>
      <w:r>
        <w:t xml:space="preserve">Using the "Create New User" tab on Manage Committee (not a shortcut — the real form), the Tender Owner adds </w:t>
      </w:r>
      <w:r>
        <w:rPr>
          <w:b/>
          <w:bCs/>
        </w:rPr>
        <w:t xml:space="preserve">Dr. Kavitha Suresh</w:t>
      </w:r>
      <w:r>
        <w:t xml:space="preserve"> as a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committee-member</w:t>
      </w:r>
      <w:r>
        <w:t xml:space="preserve"> with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view_applications</w:t>
      </w:r>
      <w:r>
        <w:t xml:space="preserve"> +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shortlist_applications</w:t>
      </w:r>
      <w:r>
        <w:t xml:space="preserve"> permissions on this tender specifically.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Empty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Filled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Added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Committee empty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Committee filled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Committee added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Step 5 — Publish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81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81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60" w:before="240"/>
      </w:pPr>
      <w:r>
        <w:t xml:space="preserve">Step 6 — An existing vendor applies</w:t>
      </w:r>
    </w:p>
    <w:p>
      <w:pPr>
        <w:spacing w:after="16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innovcomp@gmail.com</w:t>
      </w:r>
      <w:r>
        <w:t xml:space="preserve"> ("Sri innov technologies") finds the tender, answers the eligibility question ("Yes, we've supplied to an academic library before"), passes, and submits a ₹6,50,000 rate-contract bid with a written technical and financial proposal.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 Tender details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Eligibility (empty)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2. Eligibility (filled)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Step1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Step2 empty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Step2 filled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Eligibility passed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3. Application filled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Submitted — application received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Step3 filled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Submitted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Step 7 — Tender Owner reviews, shortlists, and awards</w:t>
      </w:r>
    </w:p>
    <w:p>
      <w:pPr>
        <w:spacing w:after="160"/>
      </w:pPr>
      <w:r>
        <w:t xml:space="preserve">The application (APP-2026-00013) shows up as </w:t>
      </w:r>
      <w:r>
        <w:rPr>
          <w:b/>
          <w:bCs/>
        </w:rPr>
        <w:t xml:space="preserve">Received</w:t>
      </w:r>
      <w:r>
        <w:t xml:space="preserve">. From here it's shortlisted, then awarded — exactly the two-step decision the system is built around.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693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722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Award reached from the Applications </w:t>
      </w:r>
      <w:r>
        <w:rPr>
          <w:b/>
          <w:bCs/>
        </w:rPr>
        <w:t xml:space="preserve">list</w:t>
      </w:r>
      <w:r>
        <w:t xml:space="preserve"> page's trophy icon (not the detail page — see §8 diagram 5):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Award form (empty)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Award form (filled)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Result: contract + Work Order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Award empty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Award filled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Award result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Step 8 — Vendor signs the contract (and the signing gap becomes visible)</w:t>
      </w:r>
    </w:p>
    <w:p>
      <w:pPr>
        <w:spacing w:after="160"/>
      </w:pPr>
      <w:r>
        <w:t xml:space="preserve">Contract CTR-2026-0008 was created in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draft</w:t>
      </w:r>
      <w:r>
        <w:t xml:space="preserve"> status — this tender had "Require Contract Signing" checked, so it needs a signature before it's active.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
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The vendor's signature is recorded immediately. But looking at the same contract from the Tender Owner's side — the exact open issue described in §12: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17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>Status: still </w:t>
      </w:r>
      <w:r>
        <w:rPr>
          <w:b/>
          <w:bCs/>
        </w:rPr>
        <w:t xml:space="preserve">Draft</w:t>
      </w:r>
      <w:r>
        <w:t xml:space="preserve">. Vendor Signature: ✅ Signed. Admin Signature: still shows </w:t>
      </w:r>
      <w:r>
        <w:rPr>
          <w:b/>
          <w:bCs/>
        </w:rPr>
        <w:t xml:space="preserve">Pending</w:t>
      </w:r>
      <w:r>
        <w:t xml:space="preserve"> — and there is no button on this screen to change that. This is the contract-signing gap from §12, caught in the act rather than inferred from reading code.</w:t>
      </w:r>
    </w:p>
    <w:p>
      <w:pPr>
        <w:pBdr>
          <w:bottom w:val="single" w:color="CBD5E1" w:sz="6"/>
        </w:pBdr>
        <w:spacing w:after="200"/>
      </w:pPr>
    </w:p>
    <w:p>
      <w:pPr>
        <w:pStyle w:val="Heading2"/>
        <w:pageBreakBefore/>
        <w:spacing w:after="160" w:before="240"/>
      </w:pPr>
      <w:r>
        <w:t xml:space="preserve">14. Appendix: Test Credentials &amp; Routes</w:t>
      </w:r>
    </w:p>
    <w:p>
      <w:pPr>
        <w:pStyle w:val="Heading3"/>
        <w:spacing w:after="160" w:before="240"/>
      </w:pPr>
      <w:r>
        <w:t xml:space="preserve">Credentials used in this review</w:t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Role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Email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Password</w:t>
            </w:r>
          </w:p>
        </w:tc>
        <w:tc>
          <w:tcPr>
            <w:shd w:fill="EFF6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purchaseofficer@vmu.edu.in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password123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Used for real login + real actions throughout §13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Tender Owner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test@gmail.com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123456789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Used for real login + real actions throughout §13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Vendor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innovcomp@gmail.com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1234567890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"Sri innov technologies" — used for real login + real application in §13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New Vendor (demo)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</w:rPr>
              <w:t xml:space="preserve">(generated, timestamped)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DemoVendor@2026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"Chennai Library Suppliers Pvt Ltd" — created live in §13, additive only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Committee Member (demo)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committee.demo@example.com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password123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For static §7 screenshots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Committee Member (live)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</w:rPr>
              <w:t xml:space="preserve">(generated, timestamped)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91C1C"/>
                <w:shd w:fill="F1F5F9" w:val="clear"/>
              </w:rPr>
              <w:t xml:space="preserve">Committee@2026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"Dr. Kavitha Suresh" — created live in §13 through the real UI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t xml:space="preserve">Route prefixes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/login</w:t>
      </w:r>
      <w:r>
        <w:t xml:space="preserve">,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/register</w:t>
      </w:r>
      <w:r>
        <w:t xml:space="preserve">, </w:t>
      </w:r>
      <w:r>
        <w:rPr>
          <w:rFonts w:ascii="Consolas" w:cs="Consolas" w:eastAsia="Consolas" w:hAnsi="Consolas"/>
          <w:color w:val="B91C1C"/>
          <w:shd w:fill="F1F5F9" w:val="clear"/>
        </w:rPr>
        <w:t xml:space="preserve">/forgot-password</w:t>
      </w:r>
      <w:r>
        <w:t xml:space="preserve"> — public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/admin/*</w:t>
      </w:r>
      <w:r>
        <w:t xml:space="preserve"> — Admin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/tender-owner/*</w:t>
      </w:r>
      <w:r>
        <w:t xml:space="preserve"> — Tender Owner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/committee/*</w:t>
      </w:r>
      <w:r>
        <w:t xml:space="preserve"> — Committee Member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/vendor/*</w:t>
      </w:r>
      <w:r>
        <w:t xml:space="preserve"> — Vendor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/profile</w:t>
      </w:r>
      <w:r>
        <w:t xml:space="preserve"> — shared by all authenticated roles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/api/public/tenders*</w:t>
      </w:r>
      <w:r>
        <w:t xml:space="preserve"> — unauthenticated public API (rate-limited, CORS-enabled) — see §10</w:t>
      </w:r>
    </w:p>
    <w:p>
      <w:pPr>
        <w:spacing w:after="100"/>
      </w:pPr>
    </w:p>
    <w:p>
      <w:pPr>
        <w:pStyle w:val="Heading3"/>
        <w:spacing w:after="160" w:before="240"/>
      </w:pPr>
      <w:r>
        <w:t xml:space="preserve">Screenshot inventory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screenshots/</w:t>
      </w:r>
      <w:r>
        <w:t xml:space="preserve"> — 62 static reference screenshots (all roles, every screen), named by role prefix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screenshots-live/</w:t>
      </w:r>
      <w:r>
        <w:t xml:space="preserve"> — 30 screenshots from the real, scripted end-to-end walkthrough in §13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onsolas" w:cs="Consolas" w:eastAsia="Consolas" w:hAnsi="Consolas"/>
          <w:color w:val="B91C1C"/>
          <w:shd w:fill="F1F5F9" w:val="clear"/>
        </w:rPr>
        <w:t xml:space="preserve">flowcharts-img/</w:t>
      </w:r>
      <w:r>
        <w:t xml:space="preserve"> — 11 rendered diagrams referenced throughout this manual</w:t>
      </w:r>
    </w:p>
    <w:p>
      <w:pPr>
        <w:spacing w:after="10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or78vuxjkl6ohlovvpht" Type="http://schemas.openxmlformats.org/officeDocument/2006/relationships/hyperlink" Target="#1-system-overview" TargetMode="External"/><Relationship Id="rId3dugcn1oixa3cp_srclqa" Type="http://schemas.openxmlformats.org/officeDocument/2006/relationships/hyperlink" Target="#2-user-roles--permissions" TargetMode="External"/><Relationship Id="rIdtduagenwd6x1ti7v5crge" Type="http://schemas.openxmlformats.org/officeDocument/2006/relationships/hyperlink" Target="#3-authentication-screens" TargetMode="External"/><Relationship Id="rIdzi-enebzqwen3ynxbfli-" Type="http://schemas.openxmlformats.org/officeDocument/2006/relationships/hyperlink" Target="#4-admin-manual" TargetMode="External"/><Relationship Id="rIdl1h9msmwfjtvirz-h6o7w" Type="http://schemas.openxmlformats.org/officeDocument/2006/relationships/hyperlink" Target="#5-tender-owner-manual" TargetMode="External"/><Relationship Id="rIdqmktkmzumasmk-nfncnrh" Type="http://schemas.openxmlformats.org/officeDocument/2006/relationships/hyperlink" Target="#6-vendor-manual" TargetMode="External"/><Relationship Id="rIdyadcve1lp7so6-vs_tdji" Type="http://schemas.openxmlformats.org/officeDocument/2006/relationships/hyperlink" Target="#7-committee-member-manual" TargetMode="External"/><Relationship Id="rIdhsci1i2gamxe7x_dtmkav" Type="http://schemas.openxmlformats.org/officeDocument/2006/relationships/hyperlink" Target="#8-tender--application--contract-lifecycle-with-flowcharts" TargetMode="External"/><Relationship Id="rId1ttk244lto2b3g_ujdbma" Type="http://schemas.openxmlformats.org/officeDocument/2006/relationships/hyperlink" Target="#9-automatic-email-notifications" TargetMode="External"/><Relationship Id="rIduzhzrkh17nuap-gwjpfy0" Type="http://schemas.openxmlformats.org/officeDocument/2006/relationships/hyperlink" Target="#10-future-ready-mobile-app--public-website-integration" TargetMode="External"/><Relationship Id="rIdi1mcms_7-fa7hwgnihu4q" Type="http://schemas.openxmlformats.org/officeDocument/2006/relationships/hyperlink" Target="#11-data-model" TargetMode="External"/><Relationship Id="rId_mqeg3tlr6fobztuzzoke" Type="http://schemas.openxmlformats.org/officeDocument/2006/relationships/hyperlink" Target="#12-known-issues-found-during-this-review" TargetMode="External"/><Relationship Id="rId6e0fjdnazmpbfd0ox_v_y" Type="http://schemas.openxmlformats.org/officeDocument/2006/relationships/hyperlink" Target="#13-live-end-to-end-walkthrough" TargetMode="External"/><Relationship Id="rIdcnayn-dmmccadihcvgdzs" Type="http://schemas.openxmlformats.org/officeDocument/2006/relationships/hyperlink" Target="#14-appendix-test-credentials--routes" TargetMode="External"/><Relationship Id="rId7" Type="http://schemas.openxmlformats.org/officeDocument/2006/relationships/image" Target="media/29f939edd9b0a547614bac50adb81a250b5ab31e.png"/><Relationship Id="rId8" Type="http://schemas.openxmlformats.org/officeDocument/2006/relationships/image" Target="media/0f0d72aec97def0426fcb34f8e2e673a2ae49ccf.png"/><Relationship Id="rId9" Type="http://schemas.openxmlformats.org/officeDocument/2006/relationships/image" Target="media/7b007ff9a59f11b267b5bda5707714eaa37cdf6d.png"/><Relationship Id="rId10" Type="http://schemas.openxmlformats.org/officeDocument/2006/relationships/image" Target="media/3a61f384e5e74eafbe9e5c8281a97aa4389bc071.png"/><Relationship Id="rId11" Type="http://schemas.openxmlformats.org/officeDocument/2006/relationships/image" Target="media/00583396b24b0d00e70dfda2a7ec85eaa122a66d.png"/><Relationship Id="rId12" Type="http://schemas.openxmlformats.org/officeDocument/2006/relationships/image" Target="media/b82332ee1031838d029d672079f31068773236ae.png"/><Relationship Id="rId13" Type="http://schemas.openxmlformats.org/officeDocument/2006/relationships/image" Target="media/f97c26c28ad347e1d9b93baaa2b201cd9e6c6f3b.png"/><Relationship Id="rId14" Type="http://schemas.openxmlformats.org/officeDocument/2006/relationships/image" Target="media/3cb715a36504adf287fd5c02eac37fadf1de024c.png"/><Relationship Id="rId15" Type="http://schemas.openxmlformats.org/officeDocument/2006/relationships/image" Target="media/75d5a7d06eae63abf921e1e3425333d9c866f026.png"/><Relationship Id="rId16" Type="http://schemas.openxmlformats.org/officeDocument/2006/relationships/image" Target="media/753d1fd39ffa245a9b9c72ad46e6903f3a7e567f.png"/><Relationship Id="rId17" Type="http://schemas.openxmlformats.org/officeDocument/2006/relationships/image" Target="media/f2eccfc02c728a2c65d3055a4137ffa216436aff.png"/><Relationship Id="rId18" Type="http://schemas.openxmlformats.org/officeDocument/2006/relationships/image" Target="media/a4344a9fc1176da776ed0b52d882b99b76e65264.png"/><Relationship Id="rId19" Type="http://schemas.openxmlformats.org/officeDocument/2006/relationships/image" Target="media/a7c72dca464c8f5db7426e363de4e05d952e6f36.png"/><Relationship Id="rId20" Type="http://schemas.openxmlformats.org/officeDocument/2006/relationships/image" Target="media/c67596c1f0ea84740b567f7e7fedc427a13e409a.png"/><Relationship Id="rId21" Type="http://schemas.openxmlformats.org/officeDocument/2006/relationships/image" Target="media/495169be0d4fb7de0bc6a033a90161730780ea85.png"/><Relationship Id="rId22" Type="http://schemas.openxmlformats.org/officeDocument/2006/relationships/image" Target="media/dc62b5a4c8721d413b43b811f031d8d5dd256da4.png"/><Relationship Id="rId23" Type="http://schemas.openxmlformats.org/officeDocument/2006/relationships/image" Target="media/c4856e8373a8a5a61a86e60310fb4ec0023d0614.png"/><Relationship Id="rId24" Type="http://schemas.openxmlformats.org/officeDocument/2006/relationships/image" Target="media/76c72c03c162924e9204231745585a9ab4518dde.png"/><Relationship Id="rId25" Type="http://schemas.openxmlformats.org/officeDocument/2006/relationships/image" Target="media/25731432ca796edad577487a5acc03fbb3425ac0.png"/><Relationship Id="rId26" Type="http://schemas.openxmlformats.org/officeDocument/2006/relationships/image" Target="media/25a401167b1923c8d3d007b7521b134d3753d148.png"/><Relationship Id="rId27" Type="http://schemas.openxmlformats.org/officeDocument/2006/relationships/image" Target="media/5d8f41aa4911dc0e293811156eaa3fc370da2d34.png"/><Relationship Id="rId28" Type="http://schemas.openxmlformats.org/officeDocument/2006/relationships/image" Target="media/73f7266a803fe75ee3dcda1abde958192d6174ae.png"/><Relationship Id="rId29" Type="http://schemas.openxmlformats.org/officeDocument/2006/relationships/image" Target="media/5716ca01020a1dfc4a235a84a4e1dc004c87d1fb.png"/><Relationship Id="rId30" Type="http://schemas.openxmlformats.org/officeDocument/2006/relationships/image" Target="media/7c3e1559f6c5a6a129876e435ccf3fe6c5112a86.png"/><Relationship Id="rId31" Type="http://schemas.openxmlformats.org/officeDocument/2006/relationships/image" Target="media/a3567cea857ff334ef167ccf6f9d7a6df2b42dfa.png"/><Relationship Id="rId32" Type="http://schemas.openxmlformats.org/officeDocument/2006/relationships/image" Target="media/3f7eae76f116682b0ad4311cdc2121e72f071375.png"/><Relationship Id="rId33" Type="http://schemas.openxmlformats.org/officeDocument/2006/relationships/image" Target="media/375028a35775036b009c55162ed2551243b204ff.png"/><Relationship Id="rId34" Type="http://schemas.openxmlformats.org/officeDocument/2006/relationships/image" Target="media/45258ccd04d506333fc1873cf22f66a665d01e22.png"/><Relationship Id="rId35" Type="http://schemas.openxmlformats.org/officeDocument/2006/relationships/image" Target="media/8a0fc928f13b6b972ff7f1d9e77575a03e0e5f2c.png"/><Relationship Id="rId36" Type="http://schemas.openxmlformats.org/officeDocument/2006/relationships/image" Target="media/a195f9c028b423ac424d6676c7a760d7dd217b2e.png"/><Relationship Id="rId37" Type="http://schemas.openxmlformats.org/officeDocument/2006/relationships/image" Target="media/ed32a04c661bf84653e9890a5fce7d92ba93c450.png"/><Relationship Id="rId38" Type="http://schemas.openxmlformats.org/officeDocument/2006/relationships/image" Target="media/e61907c9499e57208e9db77f0d8d013019c54cc8.png"/><Relationship Id="rId39" Type="http://schemas.openxmlformats.org/officeDocument/2006/relationships/image" Target="media/abe0d267e35c1e8477ba76e6e0b2a3aa9d2788dc.png"/><Relationship Id="rId40" Type="http://schemas.openxmlformats.org/officeDocument/2006/relationships/image" Target="media/26d22094210b126fe6d6026bbc1d436187846279.png"/><Relationship Id="rId41" Type="http://schemas.openxmlformats.org/officeDocument/2006/relationships/image" Target="media/4e1fb06364818a1a663568eb0537da98a21efb17.png"/><Relationship Id="rId42" Type="http://schemas.openxmlformats.org/officeDocument/2006/relationships/image" Target="media/00bb4d5a3be8644aecaa4ea1643987026f3f8911.png"/><Relationship Id="rId43" Type="http://schemas.openxmlformats.org/officeDocument/2006/relationships/image" Target="media/f700ad35372259e7690753ca2fd6f039c7bf138f.png"/><Relationship Id="rId44" Type="http://schemas.openxmlformats.org/officeDocument/2006/relationships/image" Target="media/5e643e5d3632ffc11b24568ca79d49ca3eecaf05.png"/><Relationship Id="rId45" Type="http://schemas.openxmlformats.org/officeDocument/2006/relationships/image" Target="media/690e41c8e8442cf7b8a46cd4d221edca226b2655.png"/><Relationship Id="rId46" Type="http://schemas.openxmlformats.org/officeDocument/2006/relationships/image" Target="media/a757376f62e07960d5a92e63308ce7f4d6afa970.png"/><Relationship Id="rId47" Type="http://schemas.openxmlformats.org/officeDocument/2006/relationships/image" Target="media/50cf2dda51f69117b3af21658ac71e80e854e594.png"/><Relationship Id="rId48" Type="http://schemas.openxmlformats.org/officeDocument/2006/relationships/image" Target="media/a9f1a1e6d9f739ee386f7d4b95874858ba9127c6.png"/><Relationship Id="rId49" Type="http://schemas.openxmlformats.org/officeDocument/2006/relationships/image" Target="media/fa21bd463c62badff4547768cf7c013817fd7de5.png"/><Relationship Id="rId50" Type="http://schemas.openxmlformats.org/officeDocument/2006/relationships/image" Target="media/d9b68dc36a15a498ae215055d130c5d36869ba4c.png"/><Relationship Id="rId51" Type="http://schemas.openxmlformats.org/officeDocument/2006/relationships/image" Target="media/1c03718cf82266238461bfd318ed7ded934f2199.png"/><Relationship Id="rId52" Type="http://schemas.openxmlformats.org/officeDocument/2006/relationships/image" Target="media/aa9919dc66818de63541a9d61cbe176f940daa23.png"/><Relationship Id="rId53" Type="http://schemas.openxmlformats.org/officeDocument/2006/relationships/image" Target="media/67e160d9d336cc8796c7e0df58b2212bfc5615d5.png"/><Relationship Id="rId54" Type="http://schemas.openxmlformats.org/officeDocument/2006/relationships/image" Target="media/b78c828f28bf87fa85d7670e38c41dd71cfd984e.png"/><Relationship Id="rId55" Type="http://schemas.openxmlformats.org/officeDocument/2006/relationships/image" Target="media/b0f437cc489884dada3a76700c79cf442f83aeae.png"/><Relationship Id="rId56" Type="http://schemas.openxmlformats.org/officeDocument/2006/relationships/image" Target="media/cddf292df142e8251d16475bd223a7edaf29e91d.png"/><Relationship Id="rId57" Type="http://schemas.openxmlformats.org/officeDocument/2006/relationships/image" Target="media/ae28cf4257bcb3672ad388a68510f5262dab12bc.png"/><Relationship Id="rId58" Type="http://schemas.openxmlformats.org/officeDocument/2006/relationships/image" Target="media/ef497c04f9f4453c9e79ecaa79970db103043e6f.png"/><Relationship Id="rId59" Type="http://schemas.openxmlformats.org/officeDocument/2006/relationships/image" Target="media/d5429b91200b4a612c660046a26e497d46312d04.png"/><Relationship Id="rId60" Type="http://schemas.openxmlformats.org/officeDocument/2006/relationships/image" Target="media/4b41dbadba5804358fdef3891df8b4fe9b951ea0.png"/><Relationship Id="rId61" Type="http://schemas.openxmlformats.org/officeDocument/2006/relationships/image" Target="media/b8439093d6815adeffc47734530cdcb957c66bc1.png"/><Relationship Id="rId62" Type="http://schemas.openxmlformats.org/officeDocument/2006/relationships/image" Target="media/8c1eb18e64b94c7bde9c4a5306b581d355172e71.png"/><Relationship Id="rId63" Type="http://schemas.openxmlformats.org/officeDocument/2006/relationships/image" Target="media/d04f840148621f1911ce8bd5bc1cfd418f5bad98.png"/><Relationship Id="rId64" Type="http://schemas.openxmlformats.org/officeDocument/2006/relationships/image" Target="media/fa4e6f2e7754a467d7ef8895465a29374d6de9ff.png"/><Relationship Id="rId65" Type="http://schemas.openxmlformats.org/officeDocument/2006/relationships/image" Target="media/73ef1c84e5ff9055a03c55543a4ce8b2a176283c.png"/><Relationship Id="rId66" Type="http://schemas.openxmlformats.org/officeDocument/2006/relationships/image" Target="media/fcc0d7ed7d39f6c5d8c22e6fbc73b8f0a6c62001.png"/><Relationship Id="rId67" Type="http://schemas.openxmlformats.org/officeDocument/2006/relationships/image" Target="media/fe2ec6f1114f71df14d79507ee2bbf77a9fa3f43.png"/><Relationship Id="rId68" Type="http://schemas.openxmlformats.org/officeDocument/2006/relationships/image" Target="media/e0894c20d7fce60a11fd27cafdc724b91a020d85.png"/><Relationship Id="rId69" Type="http://schemas.openxmlformats.org/officeDocument/2006/relationships/image" Target="media/15c74bcd88c422a7911bb2c26369dac5ec20b5bf.png"/><Relationship Id="rId70" Type="http://schemas.openxmlformats.org/officeDocument/2006/relationships/image" Target="media/7dc18c9a6792a67cc3baac72d23fbbb08d26d987.png"/><Relationship Id="rId8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2026-07-05T16:59:56.136Z</dcterms:created>
  <dcterms:modified xsi:type="dcterms:W3CDTF">2026-07-05T16:59:56.136Z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