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Лазева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</w:t>
      </w:r>
    </w:p>
    <w:p>
      <w:pPr>
        <w:pStyle w:val="CaptionedFigure"/>
      </w:pPr>
      <w:bookmarkStart w:id="26" w:name="fig:001"/>
      <w:r>
        <w:drawing>
          <wp:inline>
            <wp:extent cx="5334000" cy="459924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Открываем этот файл в gedit и вводим текст.</w:t>
      </w:r>
    </w:p>
    <w:p>
      <w:pPr>
        <w:pStyle w:val="CaptionedFigure"/>
      </w:pPr>
      <w:bookmarkStart w:id="30" w:name="fig:002"/>
      <w:r>
        <w:drawing>
          <wp:inline>
            <wp:extent cx="5334000" cy="179482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</w:t>
      </w:r>
    </w:p>
    <w:p>
      <w:pPr>
        <w:pStyle w:val="CaptionedFigure"/>
      </w:pPr>
      <w:bookmarkStart w:id="34" w:name="fig:003"/>
      <w:r>
        <w:drawing>
          <wp:inline>
            <wp:extent cx="5334000" cy="274832"/>
            <wp:effectExtent b="0" l="0" r="0" t="0"/>
            <wp:docPr descr="Рис. 3: Компиляция текс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</w:t>
      </w:r>
    </w:p>
    <w:p>
      <w:pPr>
        <w:pStyle w:val="CaptionedFigure"/>
      </w:pPr>
      <w:bookmarkStart w:id="38" w:name="fig:004"/>
      <w:r>
        <w:drawing>
          <wp:inline>
            <wp:extent cx="5334000" cy="274832"/>
            <wp:effectExtent b="0" l="0" r="0" t="0"/>
            <wp:docPr descr="Рис. 4: 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510403"/>
            <wp:effectExtent b="0" l="0" r="0" t="0"/>
            <wp:docPr descr="Рис. 5: Обработка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Обработка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main получаем переименованный файл.</w:t>
      </w:r>
    </w:p>
    <w:p>
      <w:pPr>
        <w:pStyle w:val="CaptionedFigure"/>
      </w:pPr>
      <w:bookmarkStart w:id="46" w:name="fig:006"/>
      <w:r>
        <w:drawing>
          <wp:inline>
            <wp:extent cx="5334000" cy="510403"/>
            <wp:effectExtent b="0" l="0" r="0" t="0"/>
            <wp:docPr descr="Рис. 6: Команда main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main</w:t>
      </w:r>
    </w:p>
    <w:p>
      <w:pPr>
        <w:numPr>
          <w:ilvl w:val="0"/>
          <w:numId w:val="1008"/>
        </w:numPr>
        <w:pStyle w:val="Compact"/>
      </w:pPr>
      <w:r>
        <w:t xml:space="preserve">Запускаем на выполнение созданный исполняемый файл.</w:t>
      </w:r>
    </w:p>
    <w:p>
      <w:pPr>
        <w:pStyle w:val="CaptionedFigure"/>
      </w:pPr>
      <w:bookmarkStart w:id="50" w:name="fig:007"/>
      <w:r>
        <w:drawing>
          <wp:inline>
            <wp:extent cx="5334000" cy="549665"/>
            <wp:effectExtent b="0" l="0" r="0" t="0"/>
            <wp:docPr descr="Рис. 7: Запускаем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cp создаем копию файла hello.asm с именем lab04.asm</w:t>
      </w:r>
    </w:p>
    <w:p>
      <w:pPr>
        <w:pStyle w:val="CaptionedFigure"/>
      </w:pPr>
      <w:bookmarkStart w:id="54" w:name="fig:008"/>
      <w:r>
        <w:drawing>
          <wp:inline>
            <wp:extent cx="5334000" cy="342138"/>
            <wp:effectExtent b="0" l="0" r="0" t="0"/>
            <wp:docPr descr="Рис. 8: Создание копии файла hello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копии файла hello.asm</w:t>
      </w:r>
    </w:p>
    <w:p>
      <w:pPr>
        <w:numPr>
          <w:ilvl w:val="0"/>
          <w:numId w:val="1010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CaptionedFigure"/>
      </w:pPr>
      <w:bookmarkStart w:id="58" w:name="fig:009"/>
      <w:r>
        <w:drawing>
          <wp:inline>
            <wp:extent cx="5334000" cy="1379772"/>
            <wp:effectExtent b="0" l="0" r="0" t="0"/>
            <wp:docPr descr="Рис. 9: Запуск файла lab04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файла lab04.asm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ассемблером NASM и освоили процедуры компиляции и сборки программ, которые на нем написаны.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Лазева Диана Анатольевна</dc:creator>
  <dc:language>ru-RU</dc:language>
  <cp:keywords/>
  <dcterms:created xsi:type="dcterms:W3CDTF">2022-12-02T08:14:22Z</dcterms:created>
  <dcterms:modified xsi:type="dcterms:W3CDTF">2022-12-02T08:14:22Z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вычислительных систем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