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P.A. COLLEGE OF ENGINEERING</w:t>
        <w:br/>
        <w:t>DEPARTMENT OF COMPUTER SCIENCE &amp; ENGINEERING</w:t>
      </w:r>
    </w:p>
    <w:p>
      <w:pPr>
        <w:jc w:val="center"/>
      </w:pPr>
      <w:r>
        <w:rPr>
          <w:b/>
          <w:color w:val="1F4E79"/>
          <w:sz w:val="36"/>
        </w:rPr>
        <w:t>SynCura — Literature Review Document</w:t>
      </w:r>
    </w:p>
    <w:p>
      <w:pPr>
        <w:jc w:val="center"/>
      </w:pPr>
      <w:r>
        <w:rPr>
          <w:sz w:val="24"/>
        </w:rPr>
        <w:t>Predictive ICU Monitoring System Using Attention-Based LSTM with Real-Time Explainability</w:t>
      </w:r>
    </w:p>
    <w:p>
      <w:pPr>
        <w:jc w:val="center"/>
      </w:pPr>
      <w:r>
        <w:rPr>
          <w:i/>
          <w:sz w:val="18"/>
        </w:rPr>
        <w:t>Team: Abdul Ahad Ikkeri (4PA24CS002), Fathima Reeha (4PA24CS026), Fizan Feroz (4PA24CS032) | Date: 2026-09-18 | Version: 1.1</w:t>
      </w:r>
    </w:p>
    <w:p>
      <w:r>
        <w:t>This document reviews the base paper and supporting works used in SynCura. For each study it records (1) key findings, (2) limitations for real-time clinical use, and (3) the specific idea adopted by SynCura. Table 1 is the comparative summary; detailed notes follow.</w:t>
      </w:r>
    </w:p>
    <w:p>
      <w:pPr>
        <w:pStyle w:val="IntenseQuote"/>
      </w:pPr>
      <w:r>
        <w:t>Selection method. Papers cover (a) the closest architecture-task match, (b) realistic LSTM targets, (c) vitals-only and multimodal contrasts, (d) missing-data and external-validation practice, and (e) interpretable early-warning and streaming deployment. Sources match Slide 15 of ppt/SynCura_Deck_V3_FINAL.pptx.</w:t>
      </w:r>
    </w:p>
    <w:p>
      <w:pPr>
        <w:pStyle w:val="IntenseQuote"/>
      </w:pPr>
      <w:r>
        <w:t>How to read the numbers. AUROC/AUC values come from different cohorts, labels, windows, and splits; they are reference points, not head-to-head comparisons. SynCura: validation AUC 0.840, fresh unseen 20% set-B holdout AUC 0.844 (95% CI 0.836–0.852), per ppt/figs/metrics.json.</w:t>
      </w:r>
    </w:p>
    <w:p>
      <w:pPr>
        <w:pStyle w:val="Heading1"/>
      </w:pPr>
      <w:r>
        <w:rPr>
          <w:color w:val="1F4E79"/>
          <w:sz w:val="32"/>
        </w:rPr>
        <w:t>1. Comparative summary table</w:t>
      </w:r>
    </w:p>
    <w:p>
      <w:r>
        <w:t>Table 1. Findings, limitations, and what SynCura used from each reviewed 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64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252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Study</w:t>
            </w:r>
          </w:p>
        </w:tc>
        <w:tc>
          <w:tcPr>
            <w:tcW w:type="dxa" w:w="309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Key findings</w:t>
            </w:r>
          </w:p>
        </w:tc>
        <w:tc>
          <w:tcPr>
            <w:tcW w:type="dxa" w:w="309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Limitations</w:t>
            </w:r>
          </w:p>
        </w:tc>
        <w:tc>
          <w:tcPr>
            <w:tcW w:type="dxa" w:w="309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What SynCura used / adopted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520"/>
          </w:tcPr>
          <w:p>
            <w:r/>
            <w:r>
              <w:rPr>
                <w:sz w:val="16"/>
              </w:rPr>
              <w:t>Zheng et al. (2025), JMIR 27:e69293. TBAL, 176,344 stays (MIMIC-IV + eICU).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Dynamic AUROC 0.936 (MIMIC-IV), 0.919 external eICU, recall 79.1%; hourly risk; time-aware attention.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Retrospective till discharge (0.989 at discharge = hindsight bias); cross-hospital ~0.81/0.76; no bedside trial; richer EMR than streaming allows.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Main template: 2-layer LSTM-96 + temporal attention; 90-min past-only windows; attention for temporal explanation; SHAP added.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520"/>
          </w:tcPr>
          <w:p>
            <w:r/>
            <w:r>
              <w:rPr>
                <w:sz w:val="16"/>
              </w:rPr>
              <w:t>Wang, Bai &amp; Jin (2026), Front. Physiol. 17. Explainable ICU models.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Explainable LSTM, AUC ~0.79–0.87; feature explanations aid review.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Single-dataset; descriptive not causal; thin false-alarm/lead-time/calibration reporting.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Attention (when) + SHAP (which features) via dashboard and /patient/{id}/explain.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520"/>
          </w:tcPr>
          <w:p>
            <w:r/>
            <w:r>
              <w:rPr>
                <w:sz w:val="16"/>
              </w:rPr>
              <w:t>Yan et al. (2026), PeerJ 14:e21631. LSTM/GRU/RNN/Transformer/Informer.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Plain LSTM best single, AUC 0.802 (95% CI 0.774–0.828); external below internal.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Modest AUC; stacking adds complexity; retrospective, no deployment analysis.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Kept LSTM baseline; unseen-patient evaluation (fresh 20% set-B holdout).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520"/>
          </w:tcPr>
          <w:p>
            <w:r/>
            <w:r>
              <w:rPr>
                <w:sz w:val="16"/>
              </w:rPr>
              <w:t>Sadanandan (2026), arXiv:2603.14719. LSTM + ClinicalBERT, 74,822 stays.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AUROC 0.7857, AUPRC 0.1908; structured-only field range 0.70–0.85.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Multimodal cost/privacy/compute/latency; low AUPRC; no bedside deploy.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Used range to avoid overclaiming; deferred notes fusion to future work.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520"/>
          </w:tcPr>
          <w:p>
            <w:r/>
            <w:r>
              <w:rPr>
                <w:sz w:val="16"/>
              </w:rPr>
              <w:t>Wu et al. (2024), J. Big Data 11:40. Vital-sign LSTM + external 889.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Vitals LSTM AUC 0.9263, above RF (~0.744); small vitals carry strong signal.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Different cohort/pipeline — ceiling, not head-to-head; limited explainability.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Same core vitals kept, extended to 12 vitals+labs with attention, SHAP, serving.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6"/>
              </w:rPr>
              <w:t>[6]</w:t>
            </w:r>
          </w:p>
        </w:tc>
        <w:tc>
          <w:tcPr>
            <w:tcW w:type="dxa" w:w="2520"/>
          </w:tcPr>
          <w:p>
            <w:r/>
            <w:r>
              <w:rPr>
                <w:sz w:val="16"/>
              </w:rPr>
              <w:t>Xie et al. (2025), npj Digit. Med. 8:733. RealMIP recovery.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AUC ~0.957–0.968 across eICU/MIMIC-IV/SICdb; real-time imputation helps.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Needs multi-DB training; heavier than current prototype.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Roadmap beyond interpolation + train-only z-score; add external validation.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6"/>
              </w:rPr>
              <w:t>[7]</w:t>
            </w:r>
          </w:p>
        </w:tc>
        <w:tc>
          <w:tcPr>
            <w:tcW w:type="dxa" w:w="2520"/>
          </w:tcPr>
          <w:p>
            <w:r/>
            <w:r>
              <w:rPr>
                <w:sz w:val="16"/>
              </w:rPr>
              <w:t>Choi et al. (2020), IEEE J-BHI 24(9). Interpretable BiLSTM warning.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AUROC ~0.880, beating NEWS2-style baseline; sequential over static.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Retrospective; associative attention; thin calibration/false-alarm analysis.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NEWS2 benchmark with sensitivity, specificity, precision, false alarms, lead time.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6"/>
              </w:rPr>
              <w:t>[8]</w:t>
            </w:r>
          </w:p>
        </w:tc>
        <w:tc>
          <w:tcPr>
            <w:tcW w:type="dxa" w:w="2520"/>
          </w:tcPr>
          <w:p>
            <w:r/>
            <w:r>
              <w:rPr>
                <w:sz w:val="16"/>
              </w:rPr>
              <w:t>Scheid et al. (2025), Nat. Commun. 16:9513. Wearable continuous.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Wearables ~0.89 AUROC with long lead time in-setting.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Noise, dropouts, irregular sampling, integration gaps.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SENSE→INGEST→SCORE→ACT (ESP32+MAX30105, FastAPI/SQLite, 0–100, dashboard/alerts, HTTP+MQTT); prototype-only disclaimer.</w:t>
            </w:r>
          </w:p>
        </w:tc>
      </w:tr>
      <w:tr>
        <w:tc>
          <w:tcPr>
            <w:tcW w:type="dxa" w:w="648"/>
          </w:tcPr>
          <w:p>
            <w:r/>
            <w:r>
              <w:rPr>
                <w:sz w:val="16"/>
              </w:rPr>
              <w:t>[9]</w:t>
            </w:r>
          </w:p>
        </w:tc>
        <w:tc>
          <w:tcPr>
            <w:tcW w:type="dxa" w:w="2520"/>
          </w:tcPr>
          <w:p>
            <w:r/>
            <w:r>
              <w:rPr>
                <w:sz w:val="16"/>
              </w:rPr>
              <w:t>PhysioNet Challenge 2012 (4,000 patients, 48 h, mortality labels).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Standard reproducible ICU mortality benchmark.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US-only, 2012-era, retrospective, sparse, biased.</w:t>
            </w:r>
          </w:p>
        </w:tc>
        <w:tc>
          <w:tcPr>
            <w:tcW w:type="dxa" w:w="3096"/>
          </w:tcPr>
          <w:p>
            <w:r/>
            <w:r>
              <w:rPr>
                <w:sz w:val="16"/>
              </w:rPr>
              <w:t>All modelling: 12 features, 90-min windows stride 15, val 0.840 + holdout 0.844.</w:t>
            </w:r>
          </w:p>
        </w:tc>
      </w:tr>
    </w:tbl>
    <w:p>
      <w:pPr>
        <w:pStyle w:val="IntenseQuote"/>
      </w:pPr>
      <w:r>
        <w:t>Note: numbers are reference points across different protocols, not direct comparisons with SynCura.</w:t>
      </w:r>
    </w:p>
    <w:p>
      <w:pPr>
        <w:pStyle w:val="Heading1"/>
      </w:pPr>
      <w:r>
        <w:rPr>
          <w:color w:val="1F4E79"/>
          <w:sz w:val="32"/>
        </w:rPr>
        <w:t>2. Detailed notes</w:t>
      </w:r>
    </w:p>
    <w:p>
      <w:pPr>
        <w:pStyle w:val="ListBullet"/>
      </w:pPr>
      <w:r>
        <w:rPr>
          <w:b/>
        </w:rPr>
        <w:t xml:space="preserve">Zheng et al. (2025) — base paper — </w:t>
      </w:r>
      <w:r>
        <w:t>Hourly ICU risk (0.936 dynamic, 0.919 external). Hindsight bias and cross-hospital drop limit claims. SynCura adapts to 90-minute past-only windows on PhysioNet 2012 with SHAP added.</w:t>
      </w:r>
    </w:p>
    <w:p>
      <w:pPr>
        <w:pStyle w:val="ListBullet"/>
      </w:pPr>
      <w:r>
        <w:rPr>
          <w:b/>
        </w:rPr>
        <w:t xml:space="preserve">Wang, Bai &amp; Jin (2026) — </w:t>
      </w:r>
      <w:r>
        <w:t>Explainable LSTMs (AUC ~0.79–0.87). SynCura pairs temporal attention with SHAP in dashboard and explain endpoint.</w:t>
      </w:r>
    </w:p>
    <w:p>
      <w:pPr>
        <w:pStyle w:val="ListBullet"/>
      </w:pPr>
      <w:r>
        <w:rPr>
          <w:b/>
        </w:rPr>
        <w:t xml:space="preserve">Yan et al. (2026) — </w:t>
      </w:r>
      <w:r>
        <w:t>Plain LSTM (0.802) beats newer models but drops externally. SynCura keeps simple LSTM and reports validation plus unseen holdout.</w:t>
      </w:r>
    </w:p>
    <w:p>
      <w:pPr>
        <w:pStyle w:val="ListBullet"/>
      </w:pPr>
      <w:r>
        <w:rPr>
          <w:b/>
        </w:rPr>
        <w:t xml:space="preserve">Sadanandan (2026) — </w:t>
      </w:r>
      <w:r>
        <w:t>LSTM + ClinicalBERT (0.7857); field 0.70–0.85. SynCura stays structured-only now, notes fusion later.</w:t>
      </w:r>
    </w:p>
    <w:p>
      <w:pPr>
        <w:pStyle w:val="ListBullet"/>
      </w:pPr>
      <w:r>
        <w:rPr>
          <w:b/>
        </w:rPr>
        <w:t xml:space="preserve">Wu et al. (2024) — </w:t>
      </w:r>
      <w:r>
        <w:t>Vitals-only LSTM (0.9263) is the input-scope ceiling. SynCura uses same core vitals plus labs, attention, SHAP, serving.</w:t>
      </w:r>
    </w:p>
    <w:p>
      <w:pPr>
        <w:pStyle w:val="ListBullet"/>
      </w:pPr>
      <w:r>
        <w:rPr>
          <w:b/>
        </w:rPr>
        <w:t xml:space="preserve">Xie et al. (2025) — RealMIP — </w:t>
      </w:r>
      <w:r>
        <w:t>Generative recovery (0.957–0.968, multi-DB) is the robustness target after interpolation.</w:t>
      </w:r>
    </w:p>
    <w:p>
      <w:pPr>
        <w:pStyle w:val="ListBullet"/>
      </w:pPr>
      <w:r>
        <w:rPr>
          <w:b/>
        </w:rPr>
        <w:t xml:space="preserve">Choi et al. (2020) — </w:t>
      </w:r>
      <w:r>
        <w:t>Interpretable BiLSTM warning (~0.880, beats NEWS2) supports NEWS2 comparison with false alarms and lead time.</w:t>
      </w:r>
    </w:p>
    <w:p>
      <w:pPr>
        <w:pStyle w:val="ListBullet"/>
      </w:pPr>
      <w:r>
        <w:rPr>
          <w:b/>
        </w:rPr>
        <w:t xml:space="preserve">Scheid et al. (2025) — </w:t>
      </w:r>
      <w:r>
        <w:t>Wearables (~0.89) support streaming but expose sensor gaps; hence prototype-only framing.</w:t>
      </w:r>
    </w:p>
    <w:p>
      <w:pPr>
        <w:pStyle w:val="ListBullet"/>
      </w:pPr>
      <w:r>
        <w:rPr>
          <w:b/>
        </w:rPr>
        <w:t xml:space="preserve">PhysioNet 2012 — </w:t>
      </w:r>
      <w:r>
        <w:t>Benchmark for all SynCura training: 12 features, 90-min windows, ensemble s48+c93+s45 (val 0.840, holdout 0.844).</w:t>
      </w:r>
    </w:p>
    <w:p>
      <w:pPr>
        <w:pStyle w:val="Heading1"/>
      </w:pPr>
      <w:r>
        <w:rPr>
          <w:color w:val="1F4E79"/>
          <w:sz w:val="32"/>
        </w:rPr>
        <w:t>3. Research gap</w:t>
      </w:r>
    </w:p>
    <w:p>
      <w:r>
        <w:t>Many studies optimise AUC but do not show the full streaming path: rolling input → risk score → temporal + feature explanation → API/dashboard → unseen-holdout evaluation with NEWS2, false-alarm, and lead-time reporting. SynCura targets that integration gap as a reproducible prototype, deferring calibration, fairness, external, and prospective validation to future work.</w:t>
      </w:r>
    </w:p>
    <w:p>
      <w:pPr>
        <w:pStyle w:val="Heading1"/>
      </w:pPr>
      <w:r>
        <w:rPr>
          <w:color w:val="1F4E79"/>
          <w:sz w:val="32"/>
        </w:rPr>
        <w:t>4. References</w:t>
      </w:r>
    </w:p>
    <w:p>
      <w:pPr>
        <w:pStyle w:val="ListNumber"/>
      </w:pPr>
      <w:r>
        <w:t>Z. Zheng et al., Dynamic Real-Time Risk Prediction Model for ICU Patients Based on Longitudinal Irregular Data, JMIR 27:e69293, 2025. https://doi.org/10.2196/69293</w:t>
      </w:r>
    </w:p>
    <w:p>
      <w:pPr>
        <w:pStyle w:val="ListNumber"/>
      </w:pPr>
      <w:r>
        <w:t>Y. Wang, Y. Bai, and G. Jin, Explainable Deep-Learning Models for Predicting ICU Patient Outcome, Frontiers in Physiology 17, 2026.</w:t>
      </w:r>
    </w:p>
    <w:p>
      <w:pPr>
        <w:pStyle w:val="ListNumber"/>
      </w:pPr>
      <w:r>
        <w:t>Z. Yan et al., Deep Learning-Based In-Hospital Mortality Prediction Using Long-Term Sequential Data in ICU Patients, PeerJ 14:e21631, 2026. https://doi.org/10.7717/peerj.21631</w:t>
      </w:r>
    </w:p>
    <w:p>
      <w:pPr>
        <w:pStyle w:val="ListNumber"/>
      </w:pPr>
      <w:r>
        <w:t>B. Sadanandan, Multimodal Deep Learning for Early Prediction of Patient Deterioration in the ICU, arXiv:2603.14719, 2026. https://arxiv.org/abs/2603.14719</w:t>
      </w:r>
    </w:p>
    <w:p>
      <w:pPr>
        <w:pStyle w:val="ListNumber"/>
      </w:pPr>
      <w:r>
        <w:t>Y. Wu et al., Revisiting the Potential Value of Vital Signs in Mortality Risk Prediction, J. Big Data 11:40, 2024. https://doi.org/10.1186/s40537-024-00896-8</w:t>
      </w:r>
    </w:p>
    <w:p>
      <w:pPr>
        <w:pStyle w:val="ListNumber"/>
      </w:pPr>
      <w:r>
        <w:t>P. Xie et al., Unlocking Real-Time ICU Mortality Prediction, npj Digital Medicine 8:733, 2025. https://doi.org/10.1038/s41746-025-02114-y</w:t>
      </w:r>
    </w:p>
    <w:p>
      <w:pPr>
        <w:pStyle w:val="ListNumber"/>
      </w:pPr>
      <w:r>
        <w:t>E. Choi et al., Deep Interpretable Early Warning System for Clinical Deterioration, IEEE J-BHI 24(9), 2020.</w:t>
      </w:r>
    </w:p>
    <w:p>
      <w:pPr>
        <w:pStyle w:val="ListNumber"/>
      </w:pPr>
      <w:r>
        <w:t>M. R. Scheid et al., Clinical Wearable Deep Learning Based Continuous Deterioration Prediction, Nature Communications 16:9513, 2025.</w:t>
      </w:r>
    </w:p>
    <w:p>
      <w:pPr>
        <w:pStyle w:val="ListNumber"/>
      </w:pPr>
      <w:r>
        <w:t>PhysioNet, Computing in Cardiology Challenge 2012, https://physionet.org/content/challenge-2012/</w:t>
      </w:r>
    </w:p>
    <w:p>
      <w:r>
        <w:t>Consistency check (2026-09-18): references match ppt/SynCura_Deck_V3_FINAL.pptx Slide 15; SynCura results match ppt/figs/metrics.json (val 0.840, holdout 0.844, CI 0.836–0.852).</w:t>
      </w:r>
    </w:p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