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P.A. COLLEGE OF ENGINEERING</w:t>
        <w:br/>
        <w:t>DEPARTMENT OF COMPUTER SCIENCE &amp; ENGINEERING</w:t>
      </w:r>
    </w:p>
    <w:p>
      <w:pPr>
        <w:jc w:val="center"/>
      </w:pPr>
      <w:r>
        <w:rPr>
          <w:b/>
          <w:color w:val="1F4E79"/>
          <w:sz w:val="36"/>
        </w:rPr>
        <w:t>SynCura - Literature Review Document</w:t>
      </w:r>
    </w:p>
    <w:p>
      <w:pPr>
        <w:jc w:val="center"/>
      </w:pPr>
      <w:r>
        <w:rPr>
          <w:sz w:val="24"/>
        </w:rPr>
        <w:t>Predictive ICU Monitoring System Using Attention-Based LSTM with Real-Time Explainability</w:t>
      </w:r>
    </w:p>
    <w:p>
      <w:pPr>
        <w:jc w:val="center"/>
      </w:pPr>
      <w:r>
        <w:rPr>
          <w:i/>
          <w:sz w:val="18"/>
        </w:rPr>
        <w:t>Team: Abdul Ahad Ikkeri (4PA24CS002), Fathima Reeha (4PA24CS026), Fizan Feroz (4PA24CS032) | Date: 2026-09-19 | Version: 1.2</w:t>
      </w:r>
    </w:p>
    <w:p>
      <w:r>
        <w:t>This document reviews the base paper and supporting works used in SynCura. For each study it records (1) key findings, (2) limitations for real-time clinical use, and (3) the specific idea adopted by SynCura. The comparative summary is Table 1 in Section 1; detailed per-study notes follow in Section 2 (each entry cross-references its Table 1 row by number).</w:t>
      </w:r>
    </w:p>
    <w:p>
      <w:pPr>
        <w:pStyle w:val="IntenseQuote"/>
      </w:pPr>
      <w:r>
        <w:t>Selection method. Papers cover (a) the closest architecture-task match, (b) realistic LSTM targets, (c) vitals-only and multimodal contrasts, (d) missing-data and external-validation practice, and (e) interpretable early-warning and streaming deployment. Sources match Slide 15 of ppt/SynCura_Deck_V3_FINAL.pptx.</w:t>
      </w:r>
    </w:p>
    <w:p>
      <w:pPr>
        <w:pStyle w:val="IntenseQuote"/>
      </w:pPr>
      <w:r>
        <w:t>How to read the numbers. AUROC/AUC values come from different cohorts, labels, windows, and splits; they are reference points, not head-to-head comparisons. SynCura: validation AUC 0.840, fresh unseen 20% set-B holdout AUC 0.844 (95% CI 0.836-0.852), per ppt/figs/metrics.json.</w:t>
      </w:r>
    </w:p>
    <w:p>
      <w:pPr>
        <w:pStyle w:val="Heading1"/>
      </w:pPr>
      <w:r>
        <w:rPr>
          <w:color w:val="1F4E79"/>
          <w:sz w:val="32"/>
        </w:rPr>
        <w:t>1. Comparative summary table</w:t>
      </w:r>
    </w:p>
    <w:p>
      <w:r>
        <w:t>Table 1. Findings, limitations, and what SynCura used from each reviewed work. Detailed notes in Section 2 reference these rows by number.</w:t>
      </w:r>
    </w:p>
    <w:p>
      <w:pPr>
        <w:sectPr>
          <w:footerReference w:type="default" r:id="rId13"/>
          <w:pgSz w:w="12240" w:h="15840"/>
          <w:pgMar w:top="1440" w:right="1296" w:bottom="1440" w:left="129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/>
        </w:trPr>
        <w:tc>
          <w:tcPr>
            <w:tcW w:type="dxa" w:w="79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02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Study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Key findings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Limitations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What SynCura used / adopted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[1]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Zheng et al. (2025), JMIR 27:e69293. TBAL, 176,344 stays (MIMIC-IV + eICU).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Dynamic AUROC 0.936 (MIMIC-IV), 0.919 external eICU, recall 79.1%; hourly risk; time-aware attention.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Retrospective till discharge (0.989 at discharge = hindsight bias); cross-hospital ~0.81/0.76; no bedside trial; richer EMR than streaming allows.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Main template: 2-layer LSTM-96 + temporal attention; 90-min past-only windows; attention for temporal explanation; SHAP added.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[2]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Wang, Bai &amp; Jin (2026), Front. Physiol. 17. Explainable ICU models.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Explainable LSTM, AUC ~0.79-0.87; feature explanations aid review.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Single-dataset; descriptive not causal; thin false-alarm/lead-time/calibration reporting.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Attention (when) + SHAP (which features) via dashboard and /patient/{id}/explain.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[3]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Yan et al. (2026), PeerJ 14:e21631. LSTM/GRU/RNN/Transformer/Informer.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Plain LSTM best single, AUC 0.802 (95% CI 0.774-0.828); external below internal.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Modest AUC; stacking adds complexity; retrospective, no deployment analysis.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Kept LSTM baseline; unseen-patient evaluation (fresh 20% set-B holdout).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[4]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Sadanandan (2026), arXiv:2603.14719. LSTM + ClinicalBERT, 74,822 stays.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AUROC 0.7857, AUPRC 0.1908; structured-only field range 0.70-0.85.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Multimodal cost/privacy/compute/latency; low AUPRC; no bedside deploy.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Used range to avoid overclaiming; deferred notes fusion to future work.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[5]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Wu et al. (2024), J. Big Data 11:40. Vital-sign LSTM + external 889.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Vitals LSTM AUC 0.9263, above RF (~0.744); small vitals carry strong signal.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Different cohort/pipeline - ceiling, not head-to-head; limited explainability.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Same core vitals kept, extended to 12 vitals+labs with attention, SHAP, serving.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[6]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Xie et al. (2025), npj Digit. Med. 8:733. RealMIP recovery.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AUC ~0.957-0.968 across eICU/MIMIC-IV/SICdb; real-time imputation helps.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Needs multi-DB training; heavier than current prototype.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Roadmap beyond interpolation + train-only z-score; add external validation.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[7]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Choi et al. (2020), IEEE J-BHI 24(9). Interpretable BiLSTM warning.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AUROC ~0.880, beating NEWS2-style baseline; sequential over static.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Retrospective; associative attention; thin calibration/false-alarm analysis.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NEWS2 benchmark with sensitivity, specificity, precision, false alarms, lead time.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[8]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Scheid et al. (2025), Nat. Commun. 16:9513. Wearable continuous.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Wearables ~0.89 AUROC with long lead time in-setting.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Noise, dropouts, irregular sampling, integration gaps.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SENSE-&gt;INGEST-&gt;SCORE-&gt;ACT (ESP32+MAX30105, FastAPI/SQLite, 0-100, dashboard/alerts, HTTP+MQTT); prototype-only disclaimer.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[9]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PhysioNet Challenge 2012 (4,000 patients, 48 h, mortality labels).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Standard reproducible ICU mortality benchmark.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US-only, 2012-era, retrospective, sparse, biased.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All modelling: 12 features, 90-min windows stride 15, val 0.840 + holdout 0.844.</w:t>
            </w:r>
          </w:p>
        </w:tc>
      </w:tr>
    </w:tbl>
    <w:p>
      <w:pPr>
        <w:pStyle w:val="IntenseQuote"/>
      </w:pPr>
      <w:r>
        <w:t>Note: numbers are reference points across different protocols, not direct comparisons with SynCura.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440" w:right="864" w:bottom="1440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F4E79"/>
          <w:sz w:val="32"/>
        </w:rPr>
        <w:t>2. Detailed notes (companion to Table 1)</w:t>
      </w:r>
    </w:p>
    <w:p>
      <w:pPr>
        <w:pStyle w:val="ListBullet"/>
      </w:pPr>
      <w:r>
        <w:rPr>
          <w:b/>
        </w:rPr>
        <w:t xml:space="preserve">[1] Zheng et al. (2025) - base paper </w:t>
      </w:r>
      <w:r>
        <w:rPr>
          <w:b/>
        </w:rPr>
        <w:t xml:space="preserve">Approach: </w:t>
      </w:r>
      <w:r>
        <w:t xml:space="preserve">Approach: time-aware BiLSTM with attention over irregular EMR (vitals, labs, medications), hourly updates, 176,344 MIMIC-IV stays + eICU cross-validation. </w:t>
      </w:r>
      <w:r>
        <w:rPr>
          <w:b/>
        </w:rPr>
        <w:t xml:space="preserve">Findings: </w:t>
      </w:r>
      <w:r>
        <w:t xml:space="preserve">Findings: hourly risk, dynamic AUROC 0.936 internal / 0.919 external, high recall; attention gives time-level interpretability. </w:t>
      </w:r>
      <w:r>
        <w:rPr>
          <w:b/>
        </w:rPr>
        <w:t xml:space="preserve">Limitations: </w:t>
      </w:r>
      <w:r>
        <w:t xml:space="preserve">Limitations: retrospective; 0.989 at discharge reflects hindsight bias; cross-hospital drop; no bedside trial; richer inputs than streaming allows. </w:t>
      </w:r>
      <w:r>
        <w:rPr>
          <w:b/>
        </w:rPr>
        <w:t xml:space="preserve">Adopted: </w:t>
      </w:r>
      <w:r>
        <w:t xml:space="preserve">Adopted: attention-LSTM design as 2-layer LSTM-96 + additive attention; 90-minute past-only windows; SHAP added for feature explanation; unseen holdout evaluation. </w:t>
      </w:r>
    </w:p>
    <w:p>
      <w:pPr>
        <w:pStyle w:val="ListBullet"/>
      </w:pPr>
      <w:r>
        <w:rPr>
          <w:b/>
        </w:rPr>
        <w:t xml:space="preserve">[2] Wang, Bai &amp; Jin (2026) </w:t>
      </w:r>
      <w:r>
        <w:rPr>
          <w:b/>
        </w:rPr>
        <w:t xml:space="preserve">Approach: </w:t>
      </w:r>
      <w:r>
        <w:t xml:space="preserve">Approach: explainable LSTM-family models for ICU outcome prediction with feature attribution. </w:t>
      </w:r>
      <w:r>
        <w:rPr>
          <w:b/>
        </w:rPr>
        <w:t xml:space="preserve">Findings: </w:t>
      </w:r>
      <w:r>
        <w:t xml:space="preserve">Findings: competitive discrimination (AUC ~0.79-0.87) with explanations for clinical review. </w:t>
      </w:r>
      <w:r>
        <w:rPr>
          <w:b/>
        </w:rPr>
        <w:t xml:space="preserve">Limitations: </w:t>
      </w:r>
      <w:r>
        <w:t xml:space="preserve">Limitations: single-dataset; descriptive, not causal; thin deployment metrics. </w:t>
      </w:r>
      <w:r>
        <w:rPr>
          <w:b/>
        </w:rPr>
        <w:t xml:space="preserve">Adopted: </w:t>
      </w:r>
      <w:r>
        <w:t xml:space="preserve">Adopted: dual explanation (attention = when, SHAP = which features) served via dashboard and explain endpoint. </w:t>
      </w:r>
    </w:p>
    <w:p>
      <w:pPr>
        <w:pStyle w:val="ListBullet"/>
      </w:pPr>
      <w:r>
        <w:rPr>
          <w:b/>
        </w:rPr>
        <w:t xml:space="preserve">[3] Yan et al. (2026) </w:t>
      </w:r>
      <w:r>
        <w:rPr>
          <w:b/>
        </w:rPr>
        <w:t xml:space="preserve">Approach: </w:t>
      </w:r>
      <w:r>
        <w:t xml:space="preserve">Approach: LSTM/GRU/RNN/Transformer/Informer + stacking on long-term ICU sequences with multi-centre validation. </w:t>
      </w:r>
      <w:r>
        <w:rPr>
          <w:b/>
        </w:rPr>
        <w:t xml:space="preserve">Findings: </w:t>
      </w:r>
      <w:r>
        <w:t xml:space="preserve">Findings: plain LSTM best single (AUC 0.802); external scores below internal. </w:t>
      </w:r>
      <w:r>
        <w:rPr>
          <w:b/>
        </w:rPr>
        <w:t xml:space="preserve">Limitations: </w:t>
      </w:r>
      <w:r>
        <w:t xml:space="preserve">Limitations: modest AUC; stacking costs complexity/latency. </w:t>
      </w:r>
      <w:r>
        <w:rPr>
          <w:b/>
        </w:rPr>
        <w:t xml:space="preserve">Adopted: </w:t>
      </w:r>
      <w:r>
        <w:t xml:space="preserve">Adopted: simple 2-layer LSTM baseline; validation plus unseen set-B holdout reporting. </w:t>
      </w:r>
    </w:p>
    <w:p>
      <w:pPr>
        <w:pStyle w:val="ListBullet"/>
      </w:pPr>
      <w:r>
        <w:rPr>
          <w:b/>
        </w:rPr>
        <w:t xml:space="preserve">[4] Sadanandan (2026) </w:t>
      </w:r>
      <w:r>
        <w:rPr>
          <w:b/>
        </w:rPr>
        <w:t xml:space="preserve">Approach: </w:t>
      </w:r>
      <w:r>
        <w:t xml:space="preserve">Approach: BiLSTM time-series + ClinicalBERT notes with cross-modal attention (74,822 stays); plus review of 31 studies. </w:t>
      </w:r>
      <w:r>
        <w:rPr>
          <w:b/>
        </w:rPr>
        <w:t xml:space="preserve">Findings: </w:t>
      </w:r>
      <w:r>
        <w:t xml:space="preserve">Findings: AUROC 0.7857; structured-only field range 0.70-0.85. </w:t>
      </w:r>
      <w:r>
        <w:rPr>
          <w:b/>
        </w:rPr>
        <w:t xml:space="preserve">Limitations: </w:t>
      </w:r>
      <w:r>
        <w:t xml:space="preserve">Limitations: multimodal cost/privacy/compute/latency; low AUPRC. </w:t>
      </w:r>
      <w:r>
        <w:rPr>
          <w:b/>
        </w:rPr>
        <w:t xml:space="preserve">Adopted: </w:t>
      </w:r>
      <w:r>
        <w:t xml:space="preserve">Adopted: range used to set realistic targets; note fusion deferred to future work. </w:t>
      </w:r>
    </w:p>
    <w:p>
      <w:pPr>
        <w:pStyle w:val="ListBullet"/>
      </w:pPr>
      <w:r>
        <w:rPr>
          <w:b/>
        </w:rPr>
        <w:t xml:space="preserve">[5] Wu et al. (2024) </w:t>
      </w:r>
      <w:r>
        <w:rPr>
          <w:b/>
        </w:rPr>
        <w:t xml:space="preserve">Approach: </w:t>
      </w:r>
      <w:r>
        <w:t xml:space="preserve">Approach: short-window mortality from SBP/DBP/HR/RR/Temp (33,798 MIMIC-III + 889 external); LSTM vs RF/Cox. </w:t>
      </w:r>
      <w:r>
        <w:rPr>
          <w:b/>
        </w:rPr>
        <w:t xml:space="preserve">Findings: </w:t>
      </w:r>
      <w:r>
        <w:t xml:space="preserve">Findings: vitals LSTM AUC 0.9263, far above classical baselines. </w:t>
      </w:r>
      <w:r>
        <w:rPr>
          <w:b/>
        </w:rPr>
        <w:t xml:space="preserve">Limitations: </w:t>
      </w:r>
      <w:r>
        <w:t xml:space="preserve">Limitations: different cohort/pipeline - a ceiling, not a head-to-head target. </w:t>
      </w:r>
      <w:r>
        <w:rPr>
          <w:b/>
        </w:rPr>
        <w:t xml:space="preserve">Adopted: </w:t>
      </w:r>
      <w:r>
        <w:t xml:space="preserve">Adopted: core vitals kept and extended to 12 vitals+labs with attention, SHAP, and serving path. </w:t>
      </w:r>
    </w:p>
    <w:p>
      <w:pPr>
        <w:pStyle w:val="ListBullet"/>
      </w:pPr>
      <w:r>
        <w:rPr>
          <w:b/>
        </w:rPr>
        <w:t xml:space="preserve">[6] Xie et al. (2025) - RealMIP </w:t>
      </w:r>
      <w:r>
        <w:rPr>
          <w:b/>
        </w:rPr>
        <w:t xml:space="preserve">Approach: </w:t>
      </w:r>
      <w:r>
        <w:t xml:space="preserve">Approach: generative real-time imputation of missing vitals/labs plus mortality prediction; 188 eICU centres, MIMIC-IV/SICdb validation. </w:t>
      </w:r>
      <w:r>
        <w:rPr>
          <w:b/>
        </w:rPr>
        <w:t xml:space="preserve">Findings: </w:t>
      </w:r>
      <w:r>
        <w:t xml:space="preserve">Findings: AUC ~0.957-0.968 with strong transfer. </w:t>
      </w:r>
      <w:r>
        <w:rPr>
          <w:b/>
        </w:rPr>
        <w:t xml:space="preserve">Limitations: </w:t>
      </w:r>
      <w:r>
        <w:t xml:space="preserve">Limitations: needs multi-DB training; heavier than a student prototype. </w:t>
      </w:r>
      <w:r>
        <w:rPr>
          <w:b/>
        </w:rPr>
        <w:t xml:space="preserve">Adopted: </w:t>
      </w:r>
      <w:r>
        <w:t xml:space="preserve">Adopted: roadmap item beyond interpolation + train-only z-score, paired with external validation. </w:t>
      </w:r>
    </w:p>
    <w:p>
      <w:pPr>
        <w:pStyle w:val="ListBullet"/>
      </w:pPr>
      <w:r>
        <w:rPr>
          <w:b/>
        </w:rPr>
        <w:t xml:space="preserve">[7] Choi et al. (2020) </w:t>
      </w:r>
      <w:r>
        <w:rPr>
          <w:b/>
        </w:rPr>
        <w:t xml:space="preserve">Approach: </w:t>
      </w:r>
      <w:r>
        <w:t xml:space="preserve">Approach: BiLSTM + attention early-warning system benchmarked against NEWS2. </w:t>
      </w:r>
      <w:r>
        <w:rPr>
          <w:b/>
        </w:rPr>
        <w:t xml:space="preserve">Findings: </w:t>
      </w:r>
      <w:r>
        <w:t xml:space="preserve">Findings: AUROC ~0.880, beating NEWS2-style baseline. </w:t>
      </w:r>
      <w:r>
        <w:rPr>
          <w:b/>
        </w:rPr>
        <w:t xml:space="preserve">Limitations: </w:t>
      </w:r>
      <w:r>
        <w:t xml:space="preserve">Limitations: retrospective; associative attention; thin calibration/false-alarm analysis. </w:t>
      </w:r>
      <w:r>
        <w:rPr>
          <w:b/>
        </w:rPr>
        <w:t xml:space="preserve">Adopted: </w:t>
      </w:r>
      <w:r>
        <w:t xml:space="preserve">Adopted: early-warning framing and NEWS2 comparison with sensitivity, specificity, precision, false alarms, lead time. </w:t>
      </w:r>
    </w:p>
    <w:p>
      <w:pPr>
        <w:pStyle w:val="ListBullet"/>
      </w:pPr>
      <w:r>
        <w:rPr>
          <w:b/>
        </w:rPr>
        <w:t xml:space="preserve">[8] Scheid et al. (2025) </w:t>
      </w:r>
      <w:r>
        <w:rPr>
          <w:b/>
        </w:rPr>
        <w:t xml:space="preserve">Approach: </w:t>
      </w:r>
      <w:r>
        <w:t xml:space="preserve">Approach: wearable deep learning for continuous in-hospital deterioration across hospitals. </w:t>
      </w:r>
      <w:r>
        <w:rPr>
          <w:b/>
        </w:rPr>
        <w:t xml:space="preserve">Findings: </w:t>
      </w:r>
      <w:r>
        <w:t xml:space="preserve">Findings: ~0.89 AUROC with clinically useful lead time. </w:t>
      </w:r>
      <w:r>
        <w:rPr>
          <w:b/>
        </w:rPr>
        <w:t xml:space="preserve">Limitations: </w:t>
      </w:r>
      <w:r>
        <w:t xml:space="preserve">Limitations: sensor noise, dropouts, irregular sampling, integration gaps. </w:t>
      </w:r>
      <w:r>
        <w:rPr>
          <w:b/>
        </w:rPr>
        <w:t xml:space="preserve">Adopted: </w:t>
      </w:r>
      <w:r>
        <w:t xml:space="preserve">Adopted: SENSE-&gt;INGEST-&gt;SCORE-&gt;ACT architecture with HTTP/MQTT; prototype-only disclaimer retained. </w:t>
      </w:r>
    </w:p>
    <w:p>
      <w:pPr>
        <w:pStyle w:val="ListBullet"/>
      </w:pPr>
      <w:r>
        <w:rPr>
          <w:b/>
        </w:rPr>
        <w:t xml:space="preserve">[9] PhysioNet Challenge 2012 </w:t>
      </w:r>
      <w:r>
        <w:rPr>
          <w:b/>
        </w:rPr>
        <w:t xml:space="preserve">Approach: </w:t>
      </w:r>
      <w:r>
        <w:t xml:space="preserve">Approach: 4,000 ICU patients, ~37 variables over first 48 h, binary mortality labels. </w:t>
      </w:r>
      <w:r>
        <w:rPr>
          <w:b/>
        </w:rPr>
        <w:t xml:space="preserve">Findings: </w:t>
      </w:r>
      <w:r>
        <w:t xml:space="preserve">Findings: standard reproducible benchmark for windowed, split, holdout evaluation. </w:t>
      </w:r>
      <w:r>
        <w:rPr>
          <w:b/>
        </w:rPr>
        <w:t xml:space="preserve">Limitations: </w:t>
      </w:r>
      <w:r>
        <w:t xml:space="preserve">Limitations: US-only, 2012-era, retrospective, sparse, biased vs live bedside data. </w:t>
      </w:r>
      <w:r>
        <w:rPr>
          <w:b/>
        </w:rPr>
        <w:t xml:space="preserve">Adopted: </w:t>
      </w:r>
      <w:r>
        <w:t xml:space="preserve">Adopted: all SynCura training - 12 features, 90-min windows stride 15, patient splits, ensemble s48+c93+s45 (val 0.840, holdout 0.844). </w:t>
      </w:r>
    </w:p>
    <w:p>
      <w:pPr>
        <w:pStyle w:val="Heading1"/>
      </w:pPr>
      <w:r>
        <w:rPr>
          <w:color w:val="1F4E79"/>
          <w:sz w:val="32"/>
        </w:rPr>
        <w:t>3. Research gap</w:t>
      </w:r>
    </w:p>
    <w:p>
      <w:r>
        <w:t>Many studies optimise AUC but do not show the full streaming path: rolling input -&gt; risk score -&gt; temporal + feature explanation -&gt; API/dashboard -&gt; unseen-holdout evaluation with NEWS2, false-alarm, and lead-time reporting. SynCura targets that integration gap as a reproducible prototype, deferring calibration, fairness, external, and prospective validation to future work (see Table 1, rows [1]-[9]).</w:t>
      </w:r>
    </w:p>
    <w:p>
      <w:pPr>
        <w:pStyle w:val="Heading1"/>
      </w:pPr>
      <w:r>
        <w:rPr>
          <w:color w:val="1F4E79"/>
          <w:sz w:val="32"/>
        </w:rPr>
        <w:t>4. References</w:t>
      </w:r>
    </w:p>
    <w:p>
      <w:pPr>
        <w:pStyle w:val="ListNumber"/>
      </w:pPr>
      <w:r>
        <w:t>Z. Zheng et al., Dynamic Real-Time Risk Prediction Model for ICU Patients Based on Longitudinal Irregular Data, JMIR 27:e69293, 2025. https://doi.org/10.2196/69293</w:t>
      </w:r>
    </w:p>
    <w:p>
      <w:pPr>
        <w:pStyle w:val="ListNumber"/>
      </w:pPr>
      <w:r>
        <w:t>Y. Wang, Y. Bai, and G. Jin, Explainable Deep-Learning Models for Predicting ICU Patient Outcome, Frontiers in Physiology 17, 2026.</w:t>
      </w:r>
    </w:p>
    <w:p>
      <w:pPr>
        <w:pStyle w:val="ListNumber"/>
      </w:pPr>
      <w:r>
        <w:t>Z. Yan et al., Deep Learning-Based In-Hospital Mortality Prediction Using Long-Term Sequential Data in ICU Patients, PeerJ 14:e21631, 2026. https://doi.org/10.7717/peerj.21631</w:t>
      </w:r>
    </w:p>
    <w:p>
      <w:pPr>
        <w:pStyle w:val="ListNumber"/>
      </w:pPr>
      <w:r>
        <w:t>B. Sadanandan, Multimodal Deep Learning for Early Prediction of Patient Deterioration in the ICU, arXiv:2603.14719, 2026. https://arxiv.org/abs/2603.14719</w:t>
      </w:r>
    </w:p>
    <w:p>
      <w:pPr>
        <w:pStyle w:val="ListNumber"/>
      </w:pPr>
      <w:r>
        <w:t>Y. Wu et al., Revisiting the Potential Value of Vital Signs in Mortality Risk Prediction, J. Big Data 11:40, 2024. https://doi.org/10.1186/s40537-024-00896-8</w:t>
      </w:r>
    </w:p>
    <w:p>
      <w:pPr>
        <w:pStyle w:val="ListNumber"/>
      </w:pPr>
      <w:r>
        <w:t>P. Xie et al., Unlocking Real-Time ICU Mortality Prediction, npj Digital Medicine 8:733, 2025. https://doi.org/10.1038/s41746-025-02114-y</w:t>
      </w:r>
    </w:p>
    <w:p>
      <w:pPr>
        <w:pStyle w:val="ListNumber"/>
      </w:pPr>
      <w:r>
        <w:t>E. Choi et al., Deep Interpretable Early Warning System for Clinical Deterioration, IEEE J-BHI 24(9), 2020.</w:t>
      </w:r>
    </w:p>
    <w:p>
      <w:pPr>
        <w:pStyle w:val="ListNumber"/>
      </w:pPr>
      <w:r>
        <w:t>M. R. Scheid et al., Clinical Wearable Deep Learning Based Continuous Deterioration Prediction, Nature Communications 16:9513, 2025.</w:t>
      </w:r>
    </w:p>
    <w:p>
      <w:pPr>
        <w:pStyle w:val="ListNumber"/>
      </w:pPr>
      <w:r>
        <w:t>PhysioNet, Computing in Cardiology Challenge 2012, https://physionet.org/content/challenge-2012/</w:t>
      </w:r>
    </w:p>
    <w:p>
      <w:r>
        <w:t>Consistency check (2026-09-19): references match ppt/SynCura_Deck_V3_FINAL.pptx Slide 15; SynCura results match ppt/figs/metrics.json (val 0.840, holdout 0.844, CI 0.836-0.852).</w:t>
      </w:r>
    </w:p>
    <w:sectPr w:rsidR="00FC693F" w:rsidRPr="0006063C" w:rsidSect="00034616">
      <w:headerReference w:type="default" r:id="rId11"/>
      <w:footerReference w:type="default" r:id="rId12"/>
      <w:pgSz w:w="15840" w:h="122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PAGE</w:instrText>
    </w:r>
    <w:r>
      <w:rPr>
        <w:color w:val="808080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PAGE</w:instrText>
    </w:r>
    <w:r>
      <w:rPr>
        <w:color w:val="808080"/>
        <w:sz w:val="18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PAGE</w:instrText>
    </w:r>
    <w:r>
      <w:rPr>
        <w:color w:val="80808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