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color w:val="4A5457"/>
          <w:spacing w:val="30"/>
          <w:sz w:val="14"/>
          <w:szCs w:val="14"/>
        </w:rPr>
        <w:t xml:space="preserve">ALPACA AI TRADING AGENTS HACKATHON  ·  OPTIONS ALPHA TRACK</w:t>
      </w:r>
    </w:p>
    <w:p>
      <w:pPr>
        <w:pStyle w:val="Heading1"/>
        <w:spacing w:after="40"/>
      </w:pPr>
      <w:r>
        <w:rPr>
          <w:rFonts w:ascii="Calibri" w:cs="Calibri" w:eastAsia="Calibri" w:hAnsi="Calibri"/>
          <w:b/>
          <w:bCs/>
          <w:color w:val="14191A"/>
          <w:sz w:val="34"/>
          <w:szCs w:val="34"/>
        </w:rPr>
        <w:t xml:space="preserve">Options Alpha Agent</w:t>
      </w:r>
    </w:p>
    <w:p>
      <w:pPr>
        <w:spacing w:after="60"/>
      </w:pPr>
      <w:r>
        <w:rPr>
          <w:rFonts w:ascii="Calibri" w:cs="Calibri" w:eastAsia="Calibri" w:hAnsi="Calibri"/>
          <w:i/>
          <w:iCs/>
          <w:color w:val="4A5457"/>
          <w:sz w:val="19"/>
          <w:szCs w:val="19"/>
        </w:rPr>
        <w:t xml:space="preserve">An autonomous options agent in which a language model may decline a trade but can never invent one. Every number that moves money is computed by deterministic Python.</w:t>
      </w:r>
    </w:p>
    <w:p>
      <w:pPr>
        <w:spacing w:after="40"/>
      </w:pPr>
      <w:r>
        <w:rPr>
          <w:rFonts w:ascii="Calibri" w:cs="Calibri" w:eastAsia="Calibri" w:hAnsi="Calibri"/>
          <w:color w:val="4A5457"/>
          <w:sz w:val="16"/>
          <w:szCs w:val="16"/>
        </w:rPr>
        <w:t xml:space="preserve">Paper account ID: </w:t>
      </w:r>
      <w:r>
        <w:rPr>
          <w:rFonts w:ascii="Consolas" w:cs="Consolas" w:eastAsia="Consolas" w:hAnsi="Consolas"/>
          <w:color w:val="14191A"/>
          <w:sz w:val="16"/>
          <w:szCs w:val="16"/>
        </w:rPr>
        <w:t xml:space="preserve">[fresh competition account — to be inserted]</w:t>
      </w:r>
      <w:r>
        <w:rPr>
          <w:rFonts w:ascii="Calibri" w:cs="Calibri" w:eastAsia="Calibri" w:hAnsi="Calibri"/>
          <w:color w:val="4A5457"/>
          <w:sz w:val="16"/>
          <w:szCs w:val="16"/>
        </w:rPr>
        <w:t xml:space="preserve">     Repo: </w:t>
      </w:r>
      <w:r>
        <w:rPr>
          <w:rFonts w:ascii="Consolas" w:cs="Consolas" w:eastAsia="Consolas" w:hAnsi="Consolas"/>
          <w:color w:val="14191A"/>
          <w:sz w:val="16"/>
          <w:szCs w:val="16"/>
        </w:rPr>
        <w:t xml:space="preserve">github.com/Dinaltium/Trading</w:t>
      </w:r>
    </w:p>
    <w:p>
      <w:pPr>
        <w:pBdr>
          <w:bottom w:val="single" w:color="1F6F5C" w:sz="6" w:space="3"/>
        </w:pBdr>
        <w:spacing w:after="90" w:before="200"/>
      </w:pPr>
      <w:r>
        <w:rPr>
          <w:rFonts w:ascii="Calibri" w:cs="Calibri" w:eastAsia="Calibri" w:hAnsi="Calibri"/>
          <w:b/>
          <w:bCs/>
          <w:color w:val="1F6F5C"/>
          <w:sz w:val="21"/>
          <w:szCs w:val="21"/>
        </w:rPr>
        <w:t xml:space="preserve">AI logic</w:t>
      </w:r>
    </w:p>
    <w:p>
      <w:pPr>
        <w:spacing w:after="70"/>
      </w:pPr>
      <w:r>
        <w:rPr>
          <w:rFonts w:ascii="Calibri" w:cs="Calibri" w:eastAsia="Calibri" w:hAnsi="Calibri"/>
          <w:color w:val="14191A"/>
          <w:sz w:val="18"/>
          <w:szCs w:val="18"/>
        </w:rPr>
        <w:t xml:space="preserve">Every 15 minutes during market hours the agent computes three signals from live Alpaca data: a LightGBM directional classifier P(Up), isotonic-calibrated and walk-forward retrained; IV Rank measured against an accumulating intraday history; and the Volatility Risk Premium, current ATM implied volatility less 20-day realised.</w:t>
      </w:r>
    </w:p>
    <w:p>
      <w:pPr>
        <w:spacing w:after="70"/>
      </w:pPr>
      <w:r>
        <w:rPr>
          <w:rFonts w:ascii="Calibri" w:cs="Calibri" w:eastAsia="Calibri" w:hAnsi="Calibri"/>
          <w:color w:val="14191A"/>
          <w:sz w:val="18"/>
          <w:szCs w:val="18"/>
        </w:rPr>
        <w:t xml:space="preserve">Those signals go to four models in parallel — Groq, Featherless, Mistral and Claude Code CLI. Exactly one is live; the other three run in shadow on identical inputs and never touch the account. Which one is live is set from a password-gated admin page, so the comparison can be re-pointed without a redeploy.</w:t>
      </w:r>
    </w:p>
    <w:p>
      <w:pPr>
        <w:spacing w:after="70"/>
      </w:pPr>
      <w:r>
        <w:rPr>
          <w:rFonts w:ascii="Calibri" w:cs="Calibri" w:eastAsia="Calibri" w:hAnsi="Calibri"/>
          <w:color w:val="14191A"/>
          <w:sz w:val="18"/>
          <w:szCs w:val="18"/>
        </w:rPr>
        <w:t xml:space="preserve">The model's authority is deliberately narrow. A deterministic rulebook maps every possible (IV Rank, P(Up)) pair to exactly one strategy. The model may return that strategy, or it may return cash. It may not return anything else: the same rulebook is re-evaluated in Python after the model answers, from the raw signals rather than the model's own summary of them, and any third answer is rejected before sizing. Discretion to decline, not to substitute.</w:t>
      </w:r>
    </w:p>
    <w:p>
      <w:pPr>
        <w:spacing w:after="70"/>
      </w:pPr>
      <w:r>
        <w:rPr>
          <w:rFonts w:ascii="Calibri" w:cs="Calibri" w:eastAsia="Calibri" w:hAnsi="Calibri"/>
          <w:color w:val="14191A"/>
          <w:sz w:val="18"/>
          <w:szCs w:val="18"/>
        </w:rPr>
        <w:t xml:space="preserve">Because all four models are scored against that rulebook every cycle, the audit log accumulates a like-for-like record of which models follow the rules, which abstain, and which drift — counted, not asserted.</w:t>
      </w:r>
    </w:p>
    <w:p>
      <w:pPr>
        <w:pBdr>
          <w:bottom w:val="single" w:color="1F6F5C" w:sz="6" w:space="3"/>
        </w:pBdr>
        <w:spacing w:after="90" w:before="200"/>
      </w:pPr>
      <w:r>
        <w:rPr>
          <w:rFonts w:ascii="Calibri" w:cs="Calibri" w:eastAsia="Calibri" w:hAnsi="Calibri"/>
          <w:b/>
          <w:bCs/>
          <w:color w:val="1F6F5C"/>
          <w:sz w:val="21"/>
          <w:szCs w:val="21"/>
        </w:rPr>
        <w:t xml:space="preserve">Risk gates</w:t>
      </w:r>
    </w:p>
    <w:p>
      <w:pPr>
        <w:spacing w:after="70"/>
      </w:pPr>
      <w:r>
        <w:rPr>
          <w:rFonts w:ascii="Calibri" w:cs="Calibri" w:eastAsia="Calibri" w:hAnsi="Calibri"/>
          <w:color w:val="14191A"/>
          <w:sz w:val="18"/>
          <w:szCs w:val="18"/>
        </w:rPr>
        <w:t xml:space="preserve">The gate is plain Python with no model call anywhere in it, so a judge can verify it by reading roughly ninety lines. Position size comes from quarter-Kelly on the classifier's calibrated win probability — never the model's self-reported confidence, which is not a calibrated probability and is kept for the audit trail only.</w:t>
      </w:r>
    </w:p>
    <w:tbl>
      <w:tblPr>
        <w:tblW w:type="dxa" w:w="9000"/>
        <w:tblBorders>
          <w:top w:val="single" w:color="C9CFC8" w:sz="4"/>
          <w:left w:val="none"/>
          <w:bottom w:val="single" w:color="C9CFC8" w:sz="4"/>
          <w:right w:val="none"/>
          <w:insideH w:val="single" w:color="C9CFC8" w:sz="2"/>
          <w:insideV w:val="none"/>
        </w:tblBorders>
      </w:tblPr>
      <w:tblGrid>
        <w:gridCol w:w="2400"/>
        <w:gridCol w:w="1500"/>
        <w:gridCol w:w="5100"/>
      </w:tblGrid>
      <w:tr>
        <w:trPr>
          <w:tblHeader/>
        </w:trPr>
        <w:tc>
          <w:tcPr>
            <w:tcW w:type="dxa" w:w="2400"/>
            <w:shd w:fill="EEF3F0" w:val="clear"/>
            <w:tcMar>
              <w:top w:type="dxa" w:w="60"/>
              <w:left w:type="dxa" w:w="100"/>
              <w:bottom w:type="dxa" w:w="60"/>
              <w:right w:type="dxa" w:w="100"/>
            </w:tcMar>
          </w:tcPr>
          <w:p>
            <w:r>
              <w:rPr>
                <w:rFonts w:ascii="Calibri" w:cs="Calibri" w:eastAsia="Calibri" w:hAnsi="Calibri"/>
                <w:b/>
                <w:bCs/>
                <w:color w:val="4A5457"/>
                <w:sz w:val="16"/>
                <w:szCs w:val="16"/>
              </w:rPr>
              <w:t xml:space="preserve">Control</w:t>
            </w:r>
          </w:p>
        </w:tc>
        <w:tc>
          <w:tcPr>
            <w:tcW w:type="dxa" w:w="1500"/>
            <w:shd w:fill="EEF3F0" w:val="clear"/>
            <w:tcMar>
              <w:top w:type="dxa" w:w="60"/>
              <w:left w:type="dxa" w:w="100"/>
              <w:bottom w:type="dxa" w:w="60"/>
              <w:right w:type="dxa" w:w="100"/>
            </w:tcMar>
          </w:tcPr>
          <w:p>
            <w:r>
              <w:rPr>
                <w:rFonts w:ascii="Calibri" w:cs="Calibri" w:eastAsia="Calibri" w:hAnsi="Calibri"/>
                <w:b/>
                <w:bCs/>
                <w:color w:val="4A5457"/>
                <w:sz w:val="16"/>
                <w:szCs w:val="16"/>
              </w:rPr>
              <w:t xml:space="preserve">Limit</w:t>
            </w:r>
          </w:p>
        </w:tc>
        <w:tc>
          <w:tcPr>
            <w:tcW w:type="dxa" w:w="5100"/>
            <w:shd w:fill="EEF3F0" w:val="clear"/>
            <w:tcMar>
              <w:top w:type="dxa" w:w="60"/>
              <w:left w:type="dxa" w:w="100"/>
              <w:bottom w:type="dxa" w:w="60"/>
              <w:right w:type="dxa" w:w="100"/>
            </w:tcMar>
          </w:tcPr>
          <w:p>
            <w:r>
              <w:rPr>
                <w:rFonts w:ascii="Calibri" w:cs="Calibri" w:eastAsia="Calibri" w:hAnsi="Calibri"/>
                <w:b/>
                <w:bCs/>
                <w:color w:val="4A5457"/>
                <w:sz w:val="16"/>
                <w:szCs w:val="16"/>
              </w:rPr>
              <w:t xml:space="preserve">Enforced by</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Max loss per trade</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2% equity</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Kelly sizing capped, then hard-clamped</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Total open risk</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10% equity</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Position shrunk to fit, else rejected</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Daily drawdown halt</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5%</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No new positions for the session</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Concurrent underlyings</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3</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Distinct-name cap, re-entry exempt</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Kelly fraction</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0.25</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Quarter-Kelly off calibrated P(win)</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color w:val="14191A"/>
                <w:sz w:val="16"/>
                <w:szCs w:val="16"/>
              </w:rPr>
              <w:t xml:space="preserve">Premium-selling halt</w:t>
            </w:r>
          </w:p>
        </w:tc>
        <w:tc>
          <w:tcPr>
            <w:tcW w:type="dxa" w:w="1500"/>
            <w:tcMar>
              <w:top w:type="dxa" w:w="60"/>
              <w:left w:type="dxa" w:w="100"/>
              <w:bottom w:type="dxa" w:w="60"/>
              <w:right w:type="dxa" w:w="100"/>
            </w:tcMar>
          </w:tcPr>
          <w:p>
            <w:r>
              <w:rPr>
                <w:rFonts w:ascii="Consolas" w:cs="Consolas" w:eastAsia="Consolas" w:hAnsi="Consolas"/>
                <w:b w:val="false"/>
                <w:bCs w:val="false"/>
                <w:color w:val="14191A"/>
                <w:sz w:val="16"/>
                <w:szCs w:val="16"/>
              </w:rPr>
              <w:t xml:space="preserve">IV rank 90</w:t>
            </w:r>
          </w:p>
        </w:tc>
        <w:tc>
          <w:tcPr>
            <w:tcW w:type="dxa" w:w="5100"/>
            <w:tcMar>
              <w:top w:type="dxa" w:w="60"/>
              <w:left w:type="dxa" w:w="100"/>
              <w:bottom w:type="dxa" w:w="60"/>
              <w:right w:type="dxa" w:w="100"/>
            </w:tcMar>
          </w:tcPr>
          <w:p>
            <w:r>
              <w:rPr>
                <w:rFonts w:ascii="Calibri" w:cs="Calibri" w:eastAsia="Calibri" w:hAnsi="Calibri"/>
                <w:b w:val="false"/>
                <w:bCs w:val="false"/>
                <w:color w:val="14191A"/>
                <w:sz w:val="16"/>
                <w:szCs w:val="16"/>
              </w:rPr>
              <w:t xml:space="preserve">Blocks new short-vol structures only</w:t>
            </w:r>
          </w:p>
        </w:tc>
      </w:tr>
    </w:tbl>
    <w:p>
      <w:pPr>
        <w:spacing w:after="60"/>
      </w:pPr>
      <w:r>
        <w:rPr>
          <w:rFonts w:ascii="Calibri" w:cs="Calibri" w:eastAsia="Calibri" w:hAnsi="Calibri"/>
          <w:color w:val="14191A"/>
          <w:sz w:val="18"/>
          <w:szCs w:val="18"/>
        </w:rPr>
        <w:t xml:space="preserve">The premium-selling halt is scoped to short-volatility structures rather than applied as a blanket veto: extreme implied volatility is a reason not to sell premium, not a reason to stop trading. An earlier blanket reading refused 47 of 47 elevated-volatility cycles, including 19 textbook iron-condor setups.</w:t>
      </w:r>
    </w:p>
    <w:p>
      <w:pPr>
        <w:pBdr>
          <w:bottom w:val="single" w:color="1F6F5C" w:sz="6" w:space="3"/>
        </w:pBdr>
        <w:spacing w:after="90" w:before="200"/>
      </w:pPr>
      <w:r>
        <w:rPr>
          <w:rFonts w:ascii="Calibri" w:cs="Calibri" w:eastAsia="Calibri" w:hAnsi="Calibri"/>
          <w:b/>
          <w:bCs/>
          <w:color w:val="1F6F5C"/>
          <w:sz w:val="21"/>
          <w:szCs w:val="21"/>
        </w:rPr>
        <w:t xml:space="preserve">Alpaca infrastructure</w:t>
      </w:r>
    </w:p>
    <w:p>
      <w:pPr>
        <w:pStyle w:val="ListParagraph"/>
        <w:numPr>
          <w:ilvl w:val="0"/>
          <w:numId w:val="2"/>
        </w:numPr>
        <w:spacing w:after="50"/>
      </w:pPr>
      <w:r>
        <w:rPr>
          <w:rFonts w:ascii="Calibri" w:cs="Calibri" w:eastAsia="Calibri" w:hAnsi="Calibri"/>
          <w:b/>
          <w:bCs/>
          <w:color w:val="14191A"/>
          <w:sz w:val="18"/>
          <w:szCs w:val="18"/>
        </w:rPr>
        <w:t xml:space="preserve">Execution via the Alpaca CLI. </w:t>
      </w:r>
      <w:r>
        <w:rPr>
          <w:rFonts w:ascii="Calibri" w:cs="Calibri" w:eastAsia="Calibri" w:hAnsi="Calibri"/>
          <w:color w:val="14191A"/>
          <w:sz w:val="18"/>
          <w:szCs w:val="18"/>
        </w:rPr>
        <w:t xml:space="preserve">Spreads submit as one atomic MLEG order with up to four legs — all legs fill together or none do, so a partial fill can never leave a naked position. Each submission is dry-run first, so the logged request body is provably the body that was sent.</w:t>
      </w:r>
    </w:p>
    <w:p>
      <w:pPr>
        <w:pStyle w:val="ListParagraph"/>
        <w:numPr>
          <w:ilvl w:val="0"/>
          <w:numId w:val="2"/>
        </w:numPr>
        <w:spacing w:after="50"/>
      </w:pPr>
      <w:r>
        <w:rPr>
          <w:rFonts w:ascii="Calibri" w:cs="Calibri" w:eastAsia="Calibri" w:hAnsi="Calibri"/>
          <w:b/>
          <w:bCs/>
          <w:color w:val="14191A"/>
          <w:sz w:val="18"/>
          <w:szCs w:val="18"/>
        </w:rPr>
        <w:t xml:space="preserve">Out-of-process live-endpoint guard. </w:t>
      </w:r>
      <w:r>
        <w:rPr>
          <w:rFonts w:ascii="Calibri" w:cs="Calibri" w:eastAsia="Calibri" w:hAnsi="Calibri"/>
          <w:color w:val="14191A"/>
          <w:sz w:val="18"/>
          <w:szCs w:val="18"/>
        </w:rPr>
        <w:t xml:space="preserve">alpaca doctor is run immediately before every submission and its resolved Trading endpoint must read paper-api. The check runs in a binary we did not write, against the same profile the order will use, so a mistake in our own configuration cannot satisfy it.</w:t>
      </w:r>
    </w:p>
    <w:p>
      <w:pPr>
        <w:pStyle w:val="ListParagraph"/>
        <w:numPr>
          <w:ilvl w:val="0"/>
          <w:numId w:val="2"/>
        </w:numPr>
        <w:spacing w:after="50"/>
      </w:pPr>
      <w:r>
        <w:rPr>
          <w:rFonts w:ascii="Calibri" w:cs="Calibri" w:eastAsia="Calibri" w:hAnsi="Calibri"/>
          <w:b/>
          <w:bCs/>
          <w:color w:val="14191A"/>
          <w:sz w:val="18"/>
          <w:szCs w:val="18"/>
        </w:rPr>
        <w:t xml:space="preserve">Idempotent submission. </w:t>
      </w:r>
      <w:r>
        <w:rPr>
          <w:rFonts w:ascii="Calibri" w:cs="Calibri" w:eastAsia="Calibri" w:hAnsi="Calibri"/>
          <w:color w:val="14191A"/>
          <w:sz w:val="18"/>
          <w:szCs w:val="18"/>
        </w:rPr>
        <w:t xml:space="preserve">Every order carries a generated client order ID, so an ambiguous failure is resolved by lookup rather than by a blind resubmit.</w:t>
      </w:r>
    </w:p>
    <w:p>
      <w:pPr>
        <w:pStyle w:val="ListParagraph"/>
        <w:numPr>
          <w:ilvl w:val="0"/>
          <w:numId w:val="2"/>
        </w:numPr>
        <w:spacing w:after="50"/>
      </w:pPr>
      <w:r>
        <w:rPr>
          <w:rFonts w:ascii="Calibri" w:cs="Calibri" w:eastAsia="Calibri" w:hAnsi="Calibri"/>
          <w:b/>
          <w:bCs/>
          <w:color w:val="14191A"/>
          <w:sz w:val="18"/>
          <w:szCs w:val="18"/>
        </w:rPr>
        <w:t xml:space="preserve">Market data and contract selection. </w:t>
      </w:r>
      <w:r>
        <w:rPr>
          <w:rFonts w:ascii="Calibri" w:cs="Calibri" w:eastAsia="Calibri" w:hAnsi="Calibri"/>
          <w:color w:val="14191A"/>
          <w:sz w:val="18"/>
          <w:szCs w:val="18"/>
        </w:rPr>
        <w:t xml:space="preserve">Live option chains supply strikes by delta — short legs near 0.20, protective wings near 0.10 — rather than hand-assembled OCC symbols. Market hours come from Alpaca's own clock endpoint, not local timezone arithmetic.</w:t>
      </w:r>
    </w:p>
    <w:p>
      <w:pPr>
        <w:pBdr>
          <w:bottom w:val="single" w:color="1F6F5C" w:sz="6" w:space="3"/>
        </w:pBdr>
        <w:spacing w:after="90" w:before="200"/>
      </w:pPr>
      <w:r>
        <w:rPr>
          <w:rFonts w:ascii="Calibri" w:cs="Calibri" w:eastAsia="Calibri" w:hAnsi="Calibri"/>
          <w:b/>
          <w:bCs/>
          <w:color w:val="1F6F5C"/>
          <w:sz w:val="21"/>
          <w:szCs w:val="21"/>
        </w:rPr>
        <w:t xml:space="preserve">Evidence</w:t>
      </w:r>
    </w:p>
    <w:p>
      <w:pPr>
        <w:spacing w:after="70"/>
      </w:pPr>
      <w:r>
        <w:rPr>
          <w:rFonts w:ascii="Calibri" w:cs="Calibri" w:eastAsia="Calibri" w:hAnsi="Calibri"/>
          <w:color w:val="14191A"/>
          <w:sz w:val="18"/>
          <w:szCs w:val="18"/>
        </w:rPr>
        <w:t xml:space="preserve">Every cycle writes one JSON record: the signals, all four model decisions, each model's rulebook verdict, the risk-gate ruling with its reason, and the fill result. The file is pushed to a public repository and read live by a read-only dashboard, so any claim in this document can be checked against the log rather than taken on trust.</w:t>
      </w:r>
    </w:p>
    <w:p>
      <w:pPr>
        <w:spacing w:after="0"/>
      </w:pPr>
      <w:r>
        <w:rPr>
          <w:rFonts w:ascii="Calibri" w:cs="Calibri" w:eastAsia="Calibri" w:hAnsi="Calibri"/>
          <w:i/>
          <w:iCs/>
          <w:color w:val="4A5457"/>
          <w:sz w:val="15"/>
          <w:szCs w:val="15"/>
        </w:rPr>
        <w:t xml:space="preserve">Paper trading only; simulated results do not represent actual trading. This document is not investment advice.</w:t>
      </w:r>
    </w:p>
    <w:sectPr>
      <w:pgSz w:w="12240" w:h="15840" w:orient="portrait"/>
      <w:pgMar w:top="7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2026-08-30T08:24:50.675Z</dcterms:created>
  <dcterms:modified xsi:type="dcterms:W3CDTF">2026-08-30T08:24:50.676Z</dcterms:modified>
</cp:coreProperties>
</file>

<file path=docProps/custom.xml><?xml version="1.0" encoding="utf-8"?>
<Properties xmlns="http://schemas.openxmlformats.org/officeDocument/2006/custom-properties" xmlns:vt="http://schemas.openxmlformats.org/officeDocument/2006/docPropsVTypes"/>
</file>