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Động học thuận và động học nghịch robot Dobot CR10A</w:t>
      </w:r>
    </w:p>
    <w:p>
      <w:pPr>
        <w:pStyle w:val="Subtitle"/>
      </w:pPr>
      <w:r>
        <w:t>Theo bảng DH hiện tại và TCP gắn trên axis6</w:t>
      </w:r>
    </w:p>
    <w:p>
      <w:r>
        <w:t>Tài liệu này trình bày chuỗi ma trận DH để tính pose TCP, sau đó đảo bài toán để tìm các góc khớp. Tất cả chiều dài trong phần công thức dùng milimét; q1…q6 dùng radian. TCP có độ lệch 100 mm theo trục z cục bộ của axis6.</w:t>
      </w:r>
    </w:p>
    <w:p>
      <w:pPr>
        <w:pStyle w:val="Heading1"/>
      </w:pPr>
      <w:r>
        <w:t>1. Quy ước DH và thông số robot</w:t>
      </w:r>
    </w:p>
    <w:p>
      <w:r>
        <w:t>Dùng quy ước DH chuẩn: Aᵢ = Rz(θᵢ) Tz(dᵢ) Tx(aᵢ) Rx(αᵢ). Góc trong ma trận có thể có offset; góc qᵢ dưới đây là góc khớp mà giao diện Unity nhận.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691"/>
            <w:vAlign w:val="center"/>
            <w:shd w:fill="1A537A"/>
          </w:tcPr>
          <w:p>
            <w:pPr>
              <w:spacing w:after="0" w:before="0"/>
            </w:pPr>
            <w:r/>
            <w:r>
              <w:rPr>
                <w:rFonts w:ascii="Arial" w:hAnsi="Arial" w:eastAsia="Arial"/>
                <w:b/>
                <w:color w:val="FFFFFF"/>
                <w:sz w:val="18"/>
              </w:rPr>
              <w:t>i</w:t>
            </w:r>
          </w:p>
        </w:tc>
        <w:tc>
          <w:tcPr>
            <w:tcW w:type="dxa" w:w="1080"/>
            <w:vAlign w:val="center"/>
            <w:shd w:fill="1A537A"/>
          </w:tcPr>
          <w:p>
            <w:pPr>
              <w:spacing w:after="0" w:before="0"/>
            </w:pPr>
            <w:r/>
            <w:r>
              <w:rPr>
                <w:rFonts w:ascii="Arial" w:hAnsi="Arial" w:eastAsia="Arial"/>
                <w:b/>
                <w:color w:val="FFFFFF"/>
                <w:sz w:val="18"/>
              </w:rPr>
              <w:t>aᵢ (mm)</w:t>
            </w:r>
          </w:p>
        </w:tc>
        <w:tc>
          <w:tcPr>
            <w:tcW w:type="dxa" w:w="1080"/>
            <w:vAlign w:val="center"/>
            <w:shd w:fill="1A537A"/>
          </w:tcPr>
          <w:p>
            <w:pPr>
              <w:spacing w:after="0" w:before="0"/>
            </w:pPr>
            <w:r/>
            <w:r>
              <w:rPr>
                <w:rFonts w:ascii="Arial" w:hAnsi="Arial" w:eastAsia="Arial"/>
                <w:b/>
                <w:color w:val="FFFFFF"/>
                <w:sz w:val="18"/>
              </w:rPr>
              <w:t>αᵢ</w:t>
            </w:r>
          </w:p>
        </w:tc>
        <w:tc>
          <w:tcPr>
            <w:tcW w:type="dxa" w:w="1123"/>
            <w:vAlign w:val="center"/>
            <w:shd w:fill="1A537A"/>
          </w:tcPr>
          <w:p>
            <w:pPr>
              <w:spacing w:after="0" w:before="0"/>
            </w:pPr>
            <w:r/>
            <w:r>
              <w:rPr>
                <w:rFonts w:ascii="Arial" w:hAnsi="Arial" w:eastAsia="Arial"/>
                <w:b/>
                <w:color w:val="FFFFFF"/>
                <w:sz w:val="18"/>
              </w:rPr>
              <w:t>dᵢ (mm)</w:t>
            </w:r>
          </w:p>
        </w:tc>
        <w:tc>
          <w:tcPr>
            <w:tcW w:type="dxa" w:w="2880"/>
            <w:vAlign w:val="center"/>
            <w:shd w:fill="1A537A"/>
          </w:tcPr>
          <w:p>
            <w:pPr>
              <w:spacing w:after="0" w:before="0"/>
            </w:pPr>
            <w:r/>
            <w:r>
              <w:rPr>
                <w:rFonts w:ascii="Arial" w:hAnsi="Arial" w:eastAsia="Arial"/>
                <w:b/>
                <w:color w:val="FFFFFF"/>
                <w:sz w:val="18"/>
              </w:rPr>
              <w:t>θᵢ dùng trong Aᵢ</w:t>
            </w:r>
          </w:p>
        </w:tc>
      </w:tr>
      <w:tr>
        <w:tc>
          <w:tcPr>
            <w:tcW w:type="dxa" w:w="691"/>
            <w:vAlign w:val="center"/>
          </w:tcPr>
          <w:p>
            <w:pPr>
              <w:spacing w:after="0" w:before="0"/>
            </w:pPr>
            <w:r/>
            <w:r>
              <w:rPr>
                <w:rFonts w:ascii="Arial" w:hAnsi="Arial" w:eastAsia="Arial"/>
                <w:b w:val="0"/>
                <w:sz w:val="18"/>
              </w:rPr>
              <w:t>1</w:t>
            </w:r>
          </w:p>
        </w:tc>
        <w:tc>
          <w:tcPr>
            <w:tcW w:type="dxa" w:w="1080"/>
            <w:vAlign w:val="center"/>
          </w:tcPr>
          <w:p>
            <w:pPr>
              <w:spacing w:after="0" w:before="0"/>
            </w:pPr>
            <w:r/>
            <w:r>
              <w:rPr>
                <w:rFonts w:ascii="Arial" w:hAnsi="Arial" w:eastAsia="Arial"/>
                <w:b w:val="0"/>
                <w:sz w:val="18"/>
              </w:rPr>
              <w:t>0</w:t>
            </w:r>
          </w:p>
        </w:tc>
        <w:tc>
          <w:tcPr>
            <w:tcW w:type="dxa" w:w="1080"/>
            <w:vAlign w:val="center"/>
          </w:tcPr>
          <w:p>
            <w:pPr>
              <w:spacing w:after="0" w:before="0"/>
            </w:pPr>
            <w:r/>
            <w:r>
              <w:rPr>
                <w:rFonts w:ascii="Arial" w:hAnsi="Arial" w:eastAsia="Arial"/>
                <w:b w:val="0"/>
                <w:sz w:val="18"/>
              </w:rPr>
              <w:t>−90°</w:t>
            </w:r>
          </w:p>
        </w:tc>
        <w:tc>
          <w:tcPr>
            <w:tcW w:type="dxa" w:w="1123"/>
            <w:vAlign w:val="center"/>
          </w:tcPr>
          <w:p>
            <w:pPr>
              <w:spacing w:after="0" w:before="0"/>
            </w:pPr>
            <w:r/>
            <w:r>
              <w:rPr>
                <w:rFonts w:ascii="Arial" w:hAnsi="Arial" w:eastAsia="Arial"/>
                <w:b w:val="0"/>
                <w:sz w:val="18"/>
              </w:rPr>
              <w:t>176.5</w:t>
            </w:r>
          </w:p>
        </w:tc>
        <w:tc>
          <w:tcPr>
            <w:tcW w:type="dxa" w:w="2880"/>
            <w:vAlign w:val="center"/>
          </w:tcPr>
          <w:p>
            <w:pPr>
              <w:spacing w:after="0" w:before="0"/>
            </w:pPr>
            <w:r/>
            <w:r>
              <w:rPr>
                <w:rFonts w:ascii="Arial" w:hAnsi="Arial" w:eastAsia="Arial"/>
                <w:b w:val="0"/>
                <w:sz w:val="18"/>
              </w:rPr>
              <w:t>q1</w:t>
            </w:r>
          </w:p>
        </w:tc>
      </w:tr>
      <w:tr>
        <w:tc>
          <w:tcPr>
            <w:tcW w:type="dxa" w:w="691"/>
            <w:vAlign w:val="center"/>
            <w:shd w:fill="F1F5F8"/>
          </w:tcPr>
          <w:p>
            <w:pPr>
              <w:spacing w:after="0" w:before="0"/>
            </w:pPr>
            <w:r/>
            <w:r>
              <w:rPr>
                <w:rFonts w:ascii="Arial" w:hAnsi="Arial" w:eastAsia="Arial"/>
                <w:b w:val="0"/>
                <w:sz w:val="18"/>
              </w:rPr>
              <w:t>2</w:t>
            </w:r>
          </w:p>
        </w:tc>
        <w:tc>
          <w:tcPr>
            <w:tcW w:type="dxa" w:w="1080"/>
            <w:vAlign w:val="center"/>
            <w:shd w:fill="F1F5F8"/>
          </w:tcPr>
          <w:p>
            <w:pPr>
              <w:spacing w:after="0" w:before="0"/>
            </w:pPr>
            <w:r/>
            <w:r>
              <w:rPr>
                <w:rFonts w:ascii="Arial" w:hAnsi="Arial" w:eastAsia="Arial"/>
                <w:b w:val="0"/>
                <w:sz w:val="18"/>
              </w:rPr>
              <w:t>607</w:t>
            </w:r>
          </w:p>
        </w:tc>
        <w:tc>
          <w:tcPr>
            <w:tcW w:type="dxa" w:w="1080"/>
            <w:vAlign w:val="center"/>
            <w:shd w:fill="F1F5F8"/>
          </w:tcPr>
          <w:p>
            <w:pPr>
              <w:spacing w:after="0" w:before="0"/>
            </w:pPr>
            <w:r/>
            <w:r>
              <w:rPr>
                <w:rFonts w:ascii="Arial" w:hAnsi="Arial" w:eastAsia="Arial"/>
                <w:b w:val="0"/>
                <w:sz w:val="18"/>
              </w:rPr>
              <w:t>0°</w:t>
            </w:r>
          </w:p>
        </w:tc>
        <w:tc>
          <w:tcPr>
            <w:tcW w:type="dxa" w:w="1123"/>
            <w:vAlign w:val="center"/>
            <w:shd w:fill="F1F5F8"/>
          </w:tcPr>
          <w:p>
            <w:pPr>
              <w:spacing w:after="0" w:before="0"/>
            </w:pPr>
            <w:r/>
            <w:r>
              <w:rPr>
                <w:rFonts w:ascii="Arial" w:hAnsi="Arial" w:eastAsia="Arial"/>
                <w:b w:val="0"/>
                <w:sz w:val="18"/>
              </w:rPr>
              <w:t>193</w:t>
            </w:r>
          </w:p>
        </w:tc>
        <w:tc>
          <w:tcPr>
            <w:tcW w:type="dxa" w:w="2880"/>
            <w:vAlign w:val="center"/>
            <w:shd w:fill="F1F5F8"/>
          </w:tcPr>
          <w:p>
            <w:pPr>
              <w:spacing w:after="0" w:before="0"/>
            </w:pPr>
            <w:r/>
            <w:r>
              <w:rPr>
                <w:rFonts w:ascii="Arial" w:hAnsi="Arial" w:eastAsia="Arial"/>
                <w:b w:val="0"/>
                <w:sz w:val="18"/>
              </w:rPr>
              <w:t>q2 − 90°</w:t>
            </w:r>
          </w:p>
        </w:tc>
      </w:tr>
      <w:tr>
        <w:tc>
          <w:tcPr>
            <w:tcW w:type="dxa" w:w="691"/>
            <w:vAlign w:val="center"/>
          </w:tcPr>
          <w:p>
            <w:pPr>
              <w:spacing w:after="0" w:before="0"/>
            </w:pPr>
            <w:r/>
            <w:r>
              <w:rPr>
                <w:rFonts w:ascii="Arial" w:hAnsi="Arial" w:eastAsia="Arial"/>
                <w:b w:val="0"/>
                <w:sz w:val="18"/>
              </w:rPr>
              <w:t>3</w:t>
            </w:r>
          </w:p>
        </w:tc>
        <w:tc>
          <w:tcPr>
            <w:tcW w:type="dxa" w:w="1080"/>
            <w:vAlign w:val="center"/>
          </w:tcPr>
          <w:p>
            <w:pPr>
              <w:spacing w:after="0" w:before="0"/>
            </w:pPr>
            <w:r/>
            <w:r>
              <w:rPr>
                <w:rFonts w:ascii="Arial" w:hAnsi="Arial" w:eastAsia="Arial"/>
                <w:b w:val="0"/>
                <w:sz w:val="18"/>
              </w:rPr>
              <w:t>568</w:t>
            </w:r>
          </w:p>
        </w:tc>
        <w:tc>
          <w:tcPr>
            <w:tcW w:type="dxa" w:w="1080"/>
            <w:vAlign w:val="center"/>
          </w:tcPr>
          <w:p>
            <w:pPr>
              <w:spacing w:after="0" w:before="0"/>
            </w:pPr>
            <w:r/>
            <w:r>
              <w:rPr>
                <w:rFonts w:ascii="Arial" w:hAnsi="Arial" w:eastAsia="Arial"/>
                <w:b w:val="0"/>
                <w:sz w:val="18"/>
              </w:rPr>
              <w:t>0°</w:t>
            </w:r>
          </w:p>
        </w:tc>
        <w:tc>
          <w:tcPr>
            <w:tcW w:type="dxa" w:w="1123"/>
            <w:vAlign w:val="center"/>
          </w:tcPr>
          <w:p>
            <w:pPr>
              <w:spacing w:after="0" w:before="0"/>
            </w:pPr>
            <w:r/>
            <w:r>
              <w:rPr>
                <w:rFonts w:ascii="Arial" w:hAnsi="Arial" w:eastAsia="Arial"/>
                <w:b w:val="0"/>
                <w:sz w:val="18"/>
              </w:rPr>
              <w:t>−127</w:t>
            </w:r>
          </w:p>
        </w:tc>
        <w:tc>
          <w:tcPr>
            <w:tcW w:type="dxa" w:w="2880"/>
            <w:vAlign w:val="center"/>
          </w:tcPr>
          <w:p>
            <w:pPr>
              <w:spacing w:after="0" w:before="0"/>
            </w:pPr>
            <w:r/>
            <w:r>
              <w:rPr>
                <w:rFonts w:ascii="Arial" w:hAnsi="Arial" w:eastAsia="Arial"/>
                <w:b w:val="0"/>
                <w:sz w:val="18"/>
              </w:rPr>
              <w:t>q3</w:t>
            </w:r>
          </w:p>
        </w:tc>
      </w:tr>
      <w:tr>
        <w:tc>
          <w:tcPr>
            <w:tcW w:type="dxa" w:w="691"/>
            <w:vAlign w:val="center"/>
            <w:shd w:fill="F1F5F8"/>
          </w:tcPr>
          <w:p>
            <w:pPr>
              <w:spacing w:after="0" w:before="0"/>
            </w:pPr>
            <w:r/>
            <w:r>
              <w:rPr>
                <w:rFonts w:ascii="Arial" w:hAnsi="Arial" w:eastAsia="Arial"/>
                <w:b w:val="0"/>
                <w:sz w:val="18"/>
              </w:rPr>
              <w:t>4</w:t>
            </w:r>
          </w:p>
        </w:tc>
        <w:tc>
          <w:tcPr>
            <w:tcW w:type="dxa" w:w="1080"/>
            <w:vAlign w:val="center"/>
            <w:shd w:fill="F1F5F8"/>
          </w:tcPr>
          <w:p>
            <w:pPr>
              <w:spacing w:after="0" w:before="0"/>
            </w:pPr>
            <w:r/>
            <w:r>
              <w:rPr>
                <w:rFonts w:ascii="Arial" w:hAnsi="Arial" w:eastAsia="Arial"/>
                <w:b w:val="0"/>
                <w:sz w:val="18"/>
              </w:rPr>
              <w:t>0</w:t>
            </w:r>
          </w:p>
        </w:tc>
        <w:tc>
          <w:tcPr>
            <w:tcW w:type="dxa" w:w="1080"/>
            <w:vAlign w:val="center"/>
            <w:shd w:fill="F1F5F8"/>
          </w:tcPr>
          <w:p>
            <w:pPr>
              <w:spacing w:after="0" w:before="0"/>
            </w:pPr>
            <w:r/>
            <w:r>
              <w:rPr>
                <w:rFonts w:ascii="Arial" w:hAnsi="Arial" w:eastAsia="Arial"/>
                <w:b w:val="0"/>
                <w:sz w:val="18"/>
              </w:rPr>
              <w:t>+90°</w:t>
            </w:r>
          </w:p>
        </w:tc>
        <w:tc>
          <w:tcPr>
            <w:tcW w:type="dxa" w:w="1123"/>
            <w:vAlign w:val="center"/>
            <w:shd w:fill="F1F5F8"/>
          </w:tcPr>
          <w:p>
            <w:pPr>
              <w:spacing w:after="0" w:before="0"/>
            </w:pPr>
            <w:r/>
            <w:r>
              <w:rPr>
                <w:rFonts w:ascii="Arial" w:hAnsi="Arial" w:eastAsia="Arial"/>
                <w:b w:val="0"/>
                <w:sz w:val="18"/>
              </w:rPr>
              <w:t>125</w:t>
            </w:r>
          </w:p>
        </w:tc>
        <w:tc>
          <w:tcPr>
            <w:tcW w:type="dxa" w:w="2880"/>
            <w:vAlign w:val="center"/>
            <w:shd w:fill="F1F5F8"/>
          </w:tcPr>
          <w:p>
            <w:pPr>
              <w:spacing w:after="0" w:before="0"/>
            </w:pPr>
            <w:r/>
            <w:r>
              <w:rPr>
                <w:rFonts w:ascii="Arial" w:hAnsi="Arial" w:eastAsia="Arial"/>
                <w:b w:val="0"/>
                <w:sz w:val="18"/>
              </w:rPr>
              <w:t>q4 + 90°</w:t>
            </w:r>
          </w:p>
        </w:tc>
      </w:tr>
      <w:tr>
        <w:tc>
          <w:tcPr>
            <w:tcW w:type="dxa" w:w="691"/>
            <w:vAlign w:val="center"/>
          </w:tcPr>
          <w:p>
            <w:pPr>
              <w:spacing w:after="0" w:before="0"/>
            </w:pPr>
            <w:r/>
            <w:r>
              <w:rPr>
                <w:rFonts w:ascii="Arial" w:hAnsi="Arial" w:eastAsia="Arial"/>
                <w:b w:val="0"/>
                <w:sz w:val="18"/>
              </w:rPr>
              <w:t>5</w:t>
            </w:r>
          </w:p>
        </w:tc>
        <w:tc>
          <w:tcPr>
            <w:tcW w:type="dxa" w:w="1080"/>
            <w:vAlign w:val="center"/>
          </w:tcPr>
          <w:p>
            <w:pPr>
              <w:spacing w:after="0" w:before="0"/>
            </w:pPr>
            <w:r/>
            <w:r>
              <w:rPr>
                <w:rFonts w:ascii="Arial" w:hAnsi="Arial" w:eastAsia="Arial"/>
                <w:b w:val="0"/>
                <w:sz w:val="18"/>
              </w:rPr>
              <w:t>0</w:t>
            </w:r>
          </w:p>
        </w:tc>
        <w:tc>
          <w:tcPr>
            <w:tcW w:type="dxa" w:w="1080"/>
            <w:vAlign w:val="center"/>
          </w:tcPr>
          <w:p>
            <w:pPr>
              <w:spacing w:after="0" w:before="0"/>
            </w:pPr>
            <w:r/>
            <w:r>
              <w:rPr>
                <w:rFonts w:ascii="Arial" w:hAnsi="Arial" w:eastAsia="Arial"/>
                <w:b w:val="0"/>
                <w:sz w:val="18"/>
              </w:rPr>
              <w:t>−90°</w:t>
            </w:r>
          </w:p>
        </w:tc>
        <w:tc>
          <w:tcPr>
            <w:tcW w:type="dxa" w:w="1123"/>
            <w:vAlign w:val="center"/>
          </w:tcPr>
          <w:p>
            <w:pPr>
              <w:spacing w:after="0" w:before="0"/>
            </w:pPr>
            <w:r/>
            <w:r>
              <w:rPr>
                <w:rFonts w:ascii="Arial" w:hAnsi="Arial" w:eastAsia="Arial"/>
                <w:b w:val="0"/>
                <w:sz w:val="18"/>
              </w:rPr>
              <w:t>125</w:t>
            </w:r>
          </w:p>
        </w:tc>
        <w:tc>
          <w:tcPr>
            <w:tcW w:type="dxa" w:w="2880"/>
            <w:vAlign w:val="center"/>
          </w:tcPr>
          <w:p>
            <w:pPr>
              <w:spacing w:after="0" w:before="0"/>
            </w:pPr>
            <w:r/>
            <w:r>
              <w:rPr>
                <w:rFonts w:ascii="Arial" w:hAnsi="Arial" w:eastAsia="Arial"/>
                <w:b w:val="0"/>
                <w:sz w:val="18"/>
              </w:rPr>
              <w:t>q5</w:t>
            </w:r>
          </w:p>
        </w:tc>
      </w:tr>
      <w:tr>
        <w:tc>
          <w:tcPr>
            <w:tcW w:type="dxa" w:w="691"/>
            <w:vAlign w:val="center"/>
            <w:shd w:fill="F1F5F8"/>
          </w:tcPr>
          <w:p>
            <w:pPr>
              <w:spacing w:after="0" w:before="0"/>
            </w:pPr>
            <w:r/>
            <w:r>
              <w:rPr>
                <w:rFonts w:ascii="Arial" w:hAnsi="Arial" w:eastAsia="Arial"/>
                <w:b w:val="0"/>
                <w:sz w:val="18"/>
              </w:rPr>
              <w:t>6</w:t>
            </w:r>
          </w:p>
        </w:tc>
        <w:tc>
          <w:tcPr>
            <w:tcW w:type="dxa" w:w="1080"/>
            <w:vAlign w:val="center"/>
            <w:shd w:fill="F1F5F8"/>
          </w:tcPr>
          <w:p>
            <w:pPr>
              <w:spacing w:after="0" w:before="0"/>
            </w:pPr>
            <w:r/>
            <w:r>
              <w:rPr>
                <w:rFonts w:ascii="Arial" w:hAnsi="Arial" w:eastAsia="Arial"/>
                <w:b w:val="0"/>
                <w:sz w:val="18"/>
              </w:rPr>
              <w:t>0</w:t>
            </w:r>
          </w:p>
        </w:tc>
        <w:tc>
          <w:tcPr>
            <w:tcW w:type="dxa" w:w="1080"/>
            <w:vAlign w:val="center"/>
            <w:shd w:fill="F1F5F8"/>
          </w:tcPr>
          <w:p>
            <w:pPr>
              <w:spacing w:after="0" w:before="0"/>
            </w:pPr>
            <w:r/>
            <w:r>
              <w:rPr>
                <w:rFonts w:ascii="Arial" w:hAnsi="Arial" w:eastAsia="Arial"/>
                <w:b w:val="0"/>
                <w:sz w:val="18"/>
              </w:rPr>
              <w:t>0°</w:t>
            </w:r>
          </w:p>
        </w:tc>
        <w:tc>
          <w:tcPr>
            <w:tcW w:type="dxa" w:w="1123"/>
            <w:vAlign w:val="center"/>
            <w:shd w:fill="F1F5F8"/>
          </w:tcPr>
          <w:p>
            <w:pPr>
              <w:spacing w:after="0" w:before="0"/>
            </w:pPr>
            <w:r/>
            <w:r>
              <w:rPr>
                <w:rFonts w:ascii="Arial" w:hAnsi="Arial" w:eastAsia="Arial"/>
                <w:b w:val="0"/>
                <w:sz w:val="18"/>
              </w:rPr>
              <w:t>111.3</w:t>
            </w:r>
          </w:p>
        </w:tc>
        <w:tc>
          <w:tcPr>
            <w:tcW w:type="dxa" w:w="2880"/>
            <w:vAlign w:val="center"/>
            <w:shd w:fill="F1F5F8"/>
          </w:tcPr>
          <w:p>
            <w:pPr>
              <w:spacing w:after="0" w:before="0"/>
            </w:pPr>
            <w:r/>
            <w:r>
              <w:rPr>
                <w:rFonts w:ascii="Arial" w:hAnsi="Arial" w:eastAsia="Arial"/>
                <w:b w:val="0"/>
                <w:sz w:val="18"/>
              </w:rPr>
              <w:t>q6</w:t>
            </w:r>
          </w:p>
        </w:tc>
      </w:tr>
    </w:tbl>
    <w:p>
      <w:pPr>
        <w:spacing w:after="0"/>
      </w:pPr>
    </w:p>
    <w:p>
      <w:r>
        <w:t>Đặt cᵢ = cos(θᵢ), sᵢ = sin(θᵢ). Ma trận tổng quát của từng khâu là:</w:t>
      </w:r>
    </w:p>
    <w:p>
      <w:pPr>
        <w:keepLines/>
        <w:spacing w:before="40" w:after="100"/>
        <w:jc w:val="center"/>
      </w:pPr>
      <w:r>
        <w:rPr>
          <w:rFonts w:ascii="Cambria Math" w:hAnsi="Cambria Math" w:eastAsia="Cambria Math"/>
          <w:color w:val="23303B"/>
          <w:sz w:val="17"/>
        </w:rPr>
        <w:t>Aᵢ = [ cᵢ   −sᵢcαᵢ   sᵢsαᵢ   aᵢcᵢ ;  sᵢ   cᵢcαᵢ   −cᵢsαᵢ   aᵢsᵢ ;  0   sαᵢ   cαᵢ   dᵢ ;  0   0   0   1 ]</w:t>
      </w:r>
    </w:p>
    <w:p>
      <w:r>
        <w:t>Tᵢⱼ biến tọa độ từ frame j sang frame i. Vì vậy T₀₆ là pose flange/frame 6 đo trong frame gốc robot.</w:t>
      </w:r>
    </w:p>
    <w:p>
      <w:pPr>
        <w:pStyle w:val="Heading1"/>
      </w:pPr>
      <w:r>
        <w:t>2. Động học thuận FK</w:t>
      </w:r>
    </w:p>
    <w:p>
      <w:r>
        <w:t>Thay bảng DH vào ma trận chuẩn cho sáu ma trận liên tiếp dưới đây. Ký hiệu C₁ = cos(q1), S₁ = sin(q1); với các khâu còn lại dùng θᵢ đúng theo cột cuối của bảng DH.</w:t>
      </w:r>
    </w:p>
    <w:p>
      <w:pPr>
        <w:keepLines/>
        <w:spacing w:before="40" w:after="100"/>
        <w:jc w:val="center"/>
      </w:pPr>
      <w:r>
        <w:rPr>
          <w:rFonts w:ascii="Cambria Math" w:hAnsi="Cambria Math" w:eastAsia="Cambria Math"/>
          <w:color w:val="23303B"/>
          <w:sz w:val="17"/>
        </w:rPr>
        <w:t>A₁ = [ C₁  0  −S₁  0 ;  S₁  0  C₁  0 ;  0  −1  0  176.5 ;  0  0  0  1 ]</w:t>
      </w:r>
    </w:p>
    <w:p>
      <w:pPr>
        <w:keepLines/>
        <w:spacing w:before="40" w:after="100"/>
        <w:jc w:val="center"/>
      </w:pPr>
      <w:r>
        <w:rPr>
          <w:rFonts w:ascii="Cambria Math" w:hAnsi="Cambria Math" w:eastAsia="Cambria Math"/>
          <w:color w:val="23303B"/>
          <w:sz w:val="17"/>
        </w:rPr>
        <w:t>A₂ = [ c₂  −s₂  0  607c₂ ;  s₂  c₂  0  607s₂ ;  0  0  1  193 ;  0  0  0  1 ],   θ₂ = q₂ − 90°</w:t>
      </w:r>
    </w:p>
    <w:p>
      <w:pPr>
        <w:keepLines/>
        <w:spacing w:before="40" w:after="100"/>
        <w:jc w:val="center"/>
      </w:pPr>
      <w:r>
        <w:rPr>
          <w:rFonts w:ascii="Cambria Math" w:hAnsi="Cambria Math" w:eastAsia="Cambria Math"/>
          <w:color w:val="23303B"/>
          <w:sz w:val="17"/>
        </w:rPr>
        <w:t>A₃ = [ c₃  −s₃  0  568c₃ ;  s₃  c₃  0  568s₃ ;  0  0  1  −127 ;  0  0  0  1 ]</w:t>
      </w:r>
    </w:p>
    <w:p>
      <w:pPr>
        <w:keepLines/>
        <w:spacing w:before="40" w:after="100"/>
        <w:jc w:val="center"/>
      </w:pPr>
      <w:r>
        <w:rPr>
          <w:rFonts w:ascii="Cambria Math" w:hAnsi="Cambria Math" w:eastAsia="Cambria Math"/>
          <w:color w:val="23303B"/>
          <w:sz w:val="17"/>
        </w:rPr>
        <w:t>A₄ = [ c₄  0  s₄  0 ;  s₄  0  −c₄  0 ;  0  1  0  125 ;  0  0  0  1 ],   θ₄ = q₄ + 90°</w:t>
      </w:r>
    </w:p>
    <w:p>
      <w:pPr>
        <w:keepLines/>
        <w:spacing w:before="40" w:after="100"/>
        <w:jc w:val="center"/>
      </w:pPr>
      <w:r>
        <w:rPr>
          <w:rFonts w:ascii="Cambria Math" w:hAnsi="Cambria Math" w:eastAsia="Cambria Math"/>
          <w:color w:val="23303B"/>
          <w:sz w:val="17"/>
        </w:rPr>
        <w:t>A₅ = [ c₅  0  −s₅  0 ;  s₅  0  c₅  0 ;  0  −1  0  125 ;  0  0  0  1 ]</w:t>
      </w:r>
    </w:p>
    <w:p>
      <w:pPr>
        <w:keepLines/>
        <w:spacing w:before="40" w:after="100"/>
        <w:jc w:val="center"/>
      </w:pPr>
      <w:r>
        <w:rPr>
          <w:rFonts w:ascii="Cambria Math" w:hAnsi="Cambria Math" w:eastAsia="Cambria Math"/>
          <w:color w:val="23303B"/>
          <w:sz w:val="17"/>
        </w:rPr>
        <w:t>A₆ = [ c₆  −s₆  0  0 ;  s₆  c₆  0  0 ;  0  0  1  111.3 ;  0  0  0  1 ]</w:t>
      </w:r>
    </w:p>
    <w:p>
      <w:pPr>
        <w:keepLines/>
        <w:spacing w:before="40" w:after="100"/>
        <w:jc w:val="center"/>
      </w:pPr>
      <w:r>
        <w:rPr>
          <w:rFonts w:ascii="Cambria Math" w:hAnsi="Cambria Math" w:eastAsia="Cambria Math"/>
          <w:color w:val="23303B"/>
          <w:sz w:val="20"/>
        </w:rPr>
        <w:t>T₀₆ = A₁ A₂ A₃ A₄ A₅ A₆ = [ R₀₆  p₀₆ ;  0  0  0  1 ]</w:t>
      </w:r>
    </w:p>
    <w:p>
      <w:r>
        <w:t>Nhân ma trận theo thứ tự từ trái sang phải để nhận T₀₆. R₀₆ là ma trận hướng 3×3 của frame 6; p₀₆ là vị trí gốc frame 6 trong mm. Không có một ma trận số duy nhất nếu chưa chỉ định q1…q6.</w:t>
      </w:r>
    </w:p>
    <w:p>
      <w:pPr>
        <w:pStyle w:val="Heading2"/>
      </w:pPr>
      <w:r>
        <w:t>TCP và pose đầu ra</w:t>
      </w:r>
    </w:p>
    <w:p>
      <w:r>
        <w:t>Trong scene, tcp là con của axis6, có vị trí cục bộ (0, 0, 0.1 m). Do đó T₆TCP có tịnh tiến (0, 0, 100 mm); phép quay cục bộ lưu trong Transform cũng được nhân vào để cho đúng hướng TCP.</w:t>
      </w:r>
    </w:p>
    <w:p>
      <w:pPr>
        <w:keepLines/>
        <w:spacing w:before="40" w:after="100"/>
        <w:jc w:val="center"/>
      </w:pPr>
      <w:r>
        <w:rPr>
          <w:rFonts w:ascii="Cambria Math" w:hAnsi="Cambria Math" w:eastAsia="Cambria Math"/>
          <w:color w:val="23303B"/>
          <w:sz w:val="20"/>
        </w:rPr>
        <w:t>T₀TCP = T₀₆ T₆TCP = [ R₀TCP  p₀TCP ;  0  0  0  1 ]</w:t>
      </w:r>
    </w:p>
    <w:p>
      <w:r>
        <w:t>Khi đổi sang RPY ZYX, dùng pitch = asin(−R₃₁), roll = atan2(R₃₂, R₃₃), yaw = atan2(R₂₁, R₁₁). Trong Unity, vị trí từ mm được đổi sang mét; phép đổi frame phản chiếu trục Y được áp dụng ở biên vào/ra.</w:t>
      </w:r>
    </w:p>
    <w:p>
      <w:r>
        <w:br w:type="page"/>
      </w:r>
    </w:p>
    <w:p>
      <w:pPr>
        <w:pStyle w:val="Heading1"/>
      </w:pPr>
      <w:r>
        <w:t>3. Động học nghịch IK</w:t>
      </w:r>
    </w:p>
    <w:p>
      <w:r>
        <w:t>Đầu vào IK là pose mong muốn T₀TCP. Trình tự giải là bỏ biến đổi TCP, bỏ d6 để lấy điểm frame 5, giải q1…q3 theo hình học và ma trận, trích q4…q6 từ hướng, rồi kiểm tra lại bằng FK đầy đủ.</w:t>
      </w:r>
    </w:p>
    <w:p>
      <w:pPr>
        <w:pStyle w:val="Heading2"/>
      </w:pPr>
      <w:r>
        <w:t>3.1. Bỏ TCP và lấy điểm frame 5</w:t>
      </w:r>
    </w:p>
    <w:p>
      <w:r>
        <w:t>Đảo phép nhân FK theo đúng thứ tự. Trước hết bỏ biến đổi cứng của TCP để thu pose frame 6/flange:</w:t>
      </w:r>
    </w:p>
    <w:p>
      <w:pPr>
        <w:keepLines/>
        <w:spacing w:before="40" w:after="100"/>
        <w:jc w:val="center"/>
      </w:pPr>
      <w:r>
        <w:rPr>
          <w:rFonts w:ascii="Cambria Math" w:hAnsi="Cambria Math" w:eastAsia="Cambria Math"/>
          <w:color w:val="23303B"/>
          <w:sz w:val="22"/>
        </w:rPr>
        <w:t>T₀₆* = T₀TCP* (T₆TCP)⁻¹</w:t>
      </w:r>
    </w:p>
    <w:p>
      <w:r>
        <w:t>Gọi R₀₆* và p₀₆* là phần quay và tịnh tiến của pose flange mục tiêu. Vì d6 = 111.3 mm nằm theo z của frame 6:</w:t>
      </w:r>
    </w:p>
    <w:p>
      <w:pPr>
        <w:keepLines/>
        <w:spacing w:before="40" w:after="100"/>
        <w:jc w:val="center"/>
      </w:pPr>
      <w:r>
        <w:rPr>
          <w:rFonts w:ascii="Cambria Math" w:hAnsi="Cambria Math" w:eastAsia="Cambria Math"/>
          <w:color w:val="23303B"/>
          <w:sz w:val="22"/>
        </w:rPr>
        <w:t>p₀₅ = p₀₆* − 111.3 R₀₆* [0, 0, 1]ᵀ</w:t>
      </w:r>
    </w:p>
    <w:p>
      <w:r>
        <w:t>Độ lệch TCP 100 mm đã được bỏ trong bước ma trận đầu; d6 = 111.3 mm được bỏ tiếp ở đây. d5 = 125 mm là một khâu riêng và không gộp vào d6, vì hướng z4 phụ thuộc q4.</w:t>
      </w:r>
    </w:p>
    <w:p>
      <w:pPr>
        <w:pStyle w:val="Heading2"/>
      </w:pPr>
      <w:r>
        <w:t>3.2. Giải q1, q2, q3 cho điểm p04</w:t>
      </w:r>
    </w:p>
    <w:p>
      <w:r>
        <w:t>Do d5 nằm theo z4 và z4 thay đổi theo q4, điểm p04 được tính từ p05 bằng p04 = p05 − 125 R04[0,0,1]ᵀ. Khi đã có p04, gộp các offset theo trục z1: h = d2 + d3 + d4 = 193 − 127 + 125 = 191 mm. Thành phần của p04 trong frame 1 phải thỏa:</w:t>
      </w:r>
    </w:p>
    <w:p>
      <w:pPr>
        <w:keepLines/>
        <w:spacing w:before="40" w:after="100"/>
        <w:jc w:val="center"/>
      </w:pPr>
      <w:r>
        <w:rPr>
          <w:rFonts w:ascii="Cambria Math" w:hAnsi="Cambria Math" w:eastAsia="Cambria Math"/>
          <w:color w:val="23303B"/>
          <w:sz w:val="24"/>
        </w:rPr>
        <w:t>−x sin(q1) + y cos(q1) = h</w:t>
      </w:r>
    </w:p>
    <w:p>
      <w:r>
        <w:t>Đặt ρ = √(x² + y²), φ = atan2(y, x). Nếu ρ ≥ |h|, hai nhánh hình học cho khớp 1 là:</w:t>
      </w:r>
    </w:p>
    <w:p>
      <w:pPr>
        <w:keepLines/>
        <w:spacing w:before="40" w:after="100"/>
        <w:jc w:val="center"/>
      </w:pPr>
      <w:r>
        <w:rPr>
          <w:rFonts w:ascii="Cambria Math" w:hAnsi="Cambria Math" w:eastAsia="Cambria Math"/>
          <w:color w:val="23303B"/>
          <w:sz w:val="22"/>
        </w:rPr>
        <w:t>q1 = φ − asin(h/ρ)     hoặc     q1 = φ − π + asin(h/ρ)</w:t>
      </w:r>
    </w:p>
    <w:p>
      <w:r>
        <w:t>Với từng q1, đổi điểm p04 sang frame 1: p14 = A1⁻¹ [p04; 1]. Tiếp tục bỏ A2 để thu p24 = A2⁻¹ p14. Trong mặt phẳng cánh tay, r² = p24,x² + p24,y² và:</w:t>
      </w:r>
    </w:p>
    <w:p>
      <w:pPr>
        <w:keepLines/>
        <w:spacing w:before="40" w:after="100"/>
        <w:jc w:val="center"/>
      </w:pPr>
      <w:r>
        <w:rPr>
          <w:rFonts w:ascii="Cambria Math" w:hAnsi="Cambria Math" w:eastAsia="Cambria Math"/>
          <w:color w:val="23303B"/>
          <w:sz w:val="22"/>
        </w:rPr>
        <w:t>cos(q3) = (r² − a2² − a3²) / (2 a2 a3),      q3 = ± acos(cos(q3))</w:t>
      </w:r>
    </w:p>
    <w:p>
      <w:r>
        <w:t>Đặt ψ = atan2(p24,y, p24,x). Góc ma trận khâu 2 là θ2 = ψ − atan2(a3 sin(q3), a2 + a3 cos(q3)). Bảng DH dùng θ2 = q2 − 90°, vì vậy:</w:t>
      </w:r>
    </w:p>
    <w:p>
      <w:pPr>
        <w:keepLines/>
        <w:spacing w:before="40" w:after="100"/>
        <w:jc w:val="center"/>
      </w:pPr>
      <w:r>
        <w:rPr>
          <w:rFonts w:ascii="Cambria Math" w:hAnsi="Cambria Math" w:eastAsia="Cambria Math"/>
          <w:color w:val="23303B"/>
          <w:sz w:val="24"/>
        </w:rPr>
        <w:t>q2 = θ2 + 90°</w:t>
      </w:r>
    </w:p>
    <w:p>
      <w:r>
        <w:t>Một nhánh chỉ hợp lệ khi cos(q3) nằm trong [−1, 1] và tọa độ dọc mặt phẳng sau phép đổi frame thỏa p24,z = d3 + d4 = −2 mm (trong dung sai số). Mỗi lựa chọn q1 và dấu q3 tạo một nhánh tay máy.</w:t>
      </w:r>
    </w:p>
    <w:p>
      <w:r>
        <w:br w:type="page"/>
      </w:r>
    </w:p>
    <w:p>
      <w:pPr>
        <w:pStyle w:val="Heading2"/>
      </w:pPr>
      <w:r>
        <w:t>3.3. Giải q4, q5, q6 từ hướng</w:t>
      </w:r>
    </w:p>
    <w:p>
      <w:r>
        <w:t>Từ q1…q3 tính R03. Hướng tương đối của cổ tay là:</w:t>
      </w:r>
    </w:p>
    <w:p>
      <w:pPr>
        <w:keepLines/>
        <w:spacing w:before="40" w:after="100"/>
        <w:jc w:val="center"/>
      </w:pPr>
      <w:r>
        <w:rPr>
          <w:rFonts w:ascii="Cambria Math" w:hAnsi="Cambria Math" w:eastAsia="Cambria Math"/>
          <w:color w:val="23303B"/>
          <w:sz w:val="24"/>
        </w:rPr>
        <w:t>R36 = R03ᵀ R06*</w:t>
      </w:r>
    </w:p>
    <w:p>
      <w:r>
        <w:t>Theo các offset DH của khâu 4–6, phần quay cổ tay rút gọn thành dạng ZYZ:</w:t>
      </w:r>
    </w:p>
    <w:p>
      <w:pPr>
        <w:keepLines/>
        <w:spacing w:before="40" w:after="100"/>
        <w:jc w:val="center"/>
      </w:pPr>
      <w:r>
        <w:rPr>
          <w:rFonts w:ascii="Cambria Math" w:hAnsi="Cambria Math" w:eastAsia="Cambria Math"/>
          <w:color w:val="23303B"/>
          <w:sz w:val="22"/>
        </w:rPr>
        <w:t>R36 = Rz(a) Ry(b) Rz(c),    a = q4 + 90°,    b = −q5,    c = q6</w:t>
      </w:r>
    </w:p>
    <w:p>
      <w:r>
        <w:t>Có hai nhánh cổ tay do dấu của sin(b). Đặt β = acos(R36,33), b = ±β, rồi tính:</w:t>
      </w:r>
    </w:p>
    <w:p>
      <w:pPr>
        <w:keepLines/>
        <w:spacing w:before="40" w:after="100"/>
        <w:jc w:val="center"/>
      </w:pPr>
      <w:r>
        <w:rPr>
          <w:rFonts w:ascii="Cambria Math" w:hAnsi="Cambria Math" w:eastAsia="Cambria Math"/>
          <w:color w:val="23303B"/>
          <w:sz w:val="22"/>
        </w:rPr>
        <w:t>a = atan2(R36,23 / sin(b), R36,13 / sin(b))</w:t>
      </w:r>
    </w:p>
    <w:p>
      <w:pPr>
        <w:keepLines/>
        <w:spacing w:before="40" w:after="100"/>
        <w:jc w:val="center"/>
      </w:pPr>
      <w:r>
        <w:rPr>
          <w:rFonts w:ascii="Cambria Math" w:hAnsi="Cambria Math" w:eastAsia="Cambria Math"/>
          <w:color w:val="23303B"/>
          <w:sz w:val="22"/>
        </w:rPr>
        <w:t>c = atan2(R36,32 / sin(b), −R36,31 / sin(b))</w:t>
      </w:r>
    </w:p>
    <w:p>
      <w:pPr>
        <w:keepLines/>
        <w:spacing w:before="40" w:after="100"/>
        <w:jc w:val="center"/>
      </w:pPr>
      <w:r>
        <w:rPr>
          <w:rFonts w:ascii="Cambria Math" w:hAnsi="Cambria Math" w:eastAsia="Cambria Math"/>
          <w:color w:val="23303B"/>
          <w:sz w:val="24"/>
        </w:rPr>
        <w:t>q4 = a − 90°,     q5 = −b,     q6 = c</w:t>
      </w:r>
    </w:p>
    <w:p>
      <w:r>
        <w:t>Khi sin(b) gần 0, cổ tay ở cấu hình suy biến: q4 và q6 không xác định độc lập từ hướng. Mã chọn một quy ước để tiếp tục tạo nghiệm; nghiệm sau đó vẫn phải qua kiểm tra FK.</w:t>
      </w:r>
    </w:p>
    <w:p>
      <w:pPr>
        <w:pStyle w:val="Heading2"/>
      </w:pPr>
      <w:r>
        <w:t>3.4. Ghép d5 và xác nhận nghiệm</w:t>
      </w:r>
    </w:p>
    <w:p>
      <w:r>
        <w:t>Vì p04 chứa R04 mà R04 lại phụ thuộc q1…q4, phần định vị và hướng cổ tay được ghép bằng lặp theo nhánh, không dùng Jacobian:</w:t>
      </w:r>
    </w:p>
    <w:p>
      <w:pPr>
        <w:spacing w:after="60"/>
        <w:ind w:left="259"/>
      </w:pPr>
      <w:r>
        <w:t>1. Tạo seed q1…q3 bằng cách thử vài hướng q4 dự đoán cho d5; các seed này chỉ dùng để khởi tạo.</w:t>
      </w:r>
    </w:p>
    <w:p>
      <w:pPr>
        <w:spacing w:after="60"/>
        <w:ind w:left="259"/>
      </w:pPr>
      <w:r>
        <w:t>2. Từ q1…q3 hiện tại, tính q4…q6 bằng R36 cho từng dấu nhánh cổ tay.</w:t>
      </w:r>
    </w:p>
    <w:p>
      <w:pPr>
        <w:spacing w:after="60"/>
        <w:ind w:left="259"/>
      </w:pPr>
      <w:r>
        <w:t>3. Tính p04 = p05 − 125 R04[0,0,1]ᵀ; giải lại q1…q3 theo các phương trình hình học ở mục 3.2.</w:t>
      </w:r>
    </w:p>
    <w:p>
      <w:pPr>
        <w:spacing w:after="60"/>
        <w:ind w:left="259"/>
      </w:pPr>
      <w:r>
        <w:t>4. Lặp bước 2–3 đến khi q1…q3 ổn định hoặc hết số vòng lặp.</w:t>
      </w:r>
    </w:p>
    <w:p>
      <w:pPr>
        <w:spacing w:after="60"/>
        <w:ind w:left="259"/>
      </w:pPr>
      <w:r>
        <w:t>5. Chạy FK đầy đủ đến TCP và tính sai số vị trí cùng sai số hướng; xếp nghiệm theo sai số để chọn.</w:t>
      </w:r>
    </w:p>
    <w:p>
      <w:pPr>
        <w:keepLines/>
        <w:spacing w:before="40" w:after="100"/>
        <w:jc w:val="center"/>
      </w:pPr>
      <w:r>
        <w:rPr>
          <w:rFonts w:ascii="Cambria Math" w:hAnsi="Cambria Math" w:eastAsia="Cambria Math"/>
          <w:color w:val="23303B"/>
          <w:sz w:val="22"/>
        </w:rPr>
        <w:t>eₚ = ||pTCP,mục tiêu − pTCP,FK||₂</w:t>
      </w:r>
    </w:p>
    <w:p>
      <w:pPr>
        <w:keepLines/>
        <w:spacing w:before="40" w:after="100"/>
        <w:jc w:val="center"/>
      </w:pPr>
      <w:r>
        <w:rPr>
          <w:rFonts w:ascii="Cambria Math" w:hAnsi="Cambria Math" w:eastAsia="Cambria Math"/>
          <w:color w:val="23303B"/>
          <w:sz w:val="22"/>
        </w:rPr>
        <w:t>eR = acos((trace(RTCP,mục tiêuᵀ RTCP,FK) − 1) / 2)</w:t>
      </w:r>
    </w:p>
    <w:p>
      <w:r>
        <w:t>Các nhánh chỉ là ứng viên cho đến khi được xác nhận bằng FK. Nếu sai số vị trí lớn, nguyên nhân thường là pose không với tới, hệ tọa độ/đơn vị không cùng quy ước, hoặc quá trình lặp không hội tụ; cần xem sai số FK cuối thay vì chỉ dựa vào công thức góc.</w:t>
      </w:r>
    </w:p>
    <w:p>
      <w:pPr>
        <w:pStyle w:val="Heading1"/>
      </w:pPr>
      <w:r>
        <w:t>4. Tóm tắt chuỗi tính</w:t>
      </w:r>
    </w:p>
    <w:tbl>
      <w:tblPr>
        <w:tblStyle w:val="TableGrid"/>
        <w:tblW w:type="auto" w:w="0"/>
        <w:jc w:val="center"/>
        <w:tblLook w:firstColumn="1" w:firstRow="1" w:lastColumn="0" w:lastRow="0" w:noHBand="0" w:noVBand="1" w:val="04A0"/>
      </w:tblPr>
      <w:tblGrid>
        <w:gridCol w:w="4997"/>
        <w:gridCol w:w="4997"/>
      </w:tblGrid>
      <w:tr>
        <w:tc>
          <w:tcPr>
            <w:tcW w:type="dxa" w:w="1512"/>
            <w:vAlign w:val="center"/>
            <w:shd w:fill="1A537A"/>
          </w:tcPr>
          <w:p>
            <w:pPr>
              <w:spacing w:after="0" w:before="0"/>
            </w:pPr>
            <w:r/>
            <w:r>
              <w:rPr>
                <w:rFonts w:ascii="Arial" w:hAnsi="Arial" w:eastAsia="Arial"/>
                <w:b/>
                <w:color w:val="FFFFFF"/>
                <w:sz w:val="18"/>
              </w:rPr>
              <w:t>Chiều tính</w:t>
            </w:r>
          </w:p>
        </w:tc>
        <w:tc>
          <w:tcPr>
            <w:tcW w:type="dxa" w:w="7704"/>
            <w:vAlign w:val="center"/>
            <w:shd w:fill="1A537A"/>
          </w:tcPr>
          <w:p>
            <w:pPr>
              <w:spacing w:after="0" w:before="0"/>
            </w:pPr>
            <w:r/>
            <w:r>
              <w:rPr>
                <w:rFonts w:ascii="Arial" w:hAnsi="Arial" w:eastAsia="Arial"/>
                <w:b/>
                <w:color w:val="FFFFFF"/>
                <w:sz w:val="18"/>
              </w:rPr>
              <w:t>Chuỗi ma trận / phép giải</w:t>
            </w:r>
          </w:p>
        </w:tc>
      </w:tr>
      <w:tr>
        <w:tc>
          <w:tcPr>
            <w:tcW w:type="dxa" w:w="1512"/>
            <w:vAlign w:val="center"/>
          </w:tcPr>
          <w:p>
            <w:pPr>
              <w:spacing w:after="0" w:before="0"/>
            </w:pPr>
            <w:r/>
            <w:r>
              <w:rPr>
                <w:rFonts w:ascii="Arial" w:hAnsi="Arial" w:eastAsia="Arial"/>
                <w:b w:val="0"/>
                <w:sz w:val="18"/>
              </w:rPr>
              <w:t>FK</w:t>
            </w:r>
          </w:p>
        </w:tc>
        <w:tc>
          <w:tcPr>
            <w:tcW w:type="dxa" w:w="7704"/>
            <w:vAlign w:val="center"/>
          </w:tcPr>
          <w:p>
            <w:pPr>
              <w:spacing w:after="0" w:before="0"/>
            </w:pPr>
            <w:r/>
            <w:r>
              <w:rPr>
                <w:rFonts w:ascii="Arial" w:hAnsi="Arial" w:eastAsia="Arial"/>
                <w:b w:val="0"/>
                <w:sz w:val="18"/>
              </w:rPr>
              <w:t>q → A1…A6 → T06 → nhân T6TCP → pose TCP</w:t>
            </w:r>
          </w:p>
        </w:tc>
      </w:tr>
      <w:tr>
        <w:tc>
          <w:tcPr>
            <w:tcW w:type="dxa" w:w="1512"/>
            <w:vAlign w:val="center"/>
            <w:shd w:fill="F1F5F8"/>
          </w:tcPr>
          <w:p>
            <w:pPr>
              <w:spacing w:after="0" w:before="0"/>
            </w:pPr>
            <w:r/>
            <w:r>
              <w:rPr>
                <w:rFonts w:ascii="Arial" w:hAnsi="Arial" w:eastAsia="Arial"/>
                <w:b w:val="0"/>
                <w:sz w:val="18"/>
              </w:rPr>
              <w:t>IK</w:t>
            </w:r>
          </w:p>
        </w:tc>
        <w:tc>
          <w:tcPr>
            <w:tcW w:type="dxa" w:w="7704"/>
            <w:vAlign w:val="center"/>
            <w:shd w:fill="F1F5F8"/>
          </w:tcPr>
          <w:p>
            <w:pPr>
              <w:spacing w:after="0" w:before="0"/>
            </w:pPr>
            <w:r/>
            <w:r>
              <w:rPr>
                <w:rFonts w:ascii="Arial" w:hAnsi="Arial" w:eastAsia="Arial"/>
                <w:b w:val="0"/>
                <w:sz w:val="18"/>
              </w:rPr>
              <w:t>pose TCP đích → bỏ T6TCP → p05 → ghép d5 → giải nhánh q1…q3 → giải cổ tay q4…q6 → FK kiểm tra</w:t>
            </w:r>
          </w:p>
        </w:tc>
      </w:tr>
      <w:tr>
        <w:tc>
          <w:tcPr>
            <w:tcW w:type="dxa" w:w="1512"/>
            <w:vAlign w:val="center"/>
          </w:tcPr>
          <w:p>
            <w:pPr>
              <w:spacing w:after="0" w:before="0"/>
            </w:pPr>
            <w:r/>
            <w:r>
              <w:rPr>
                <w:rFonts w:ascii="Arial" w:hAnsi="Arial" w:eastAsia="Arial"/>
                <w:b w:val="0"/>
                <w:sz w:val="18"/>
              </w:rPr>
              <w:t>TCP</w:t>
            </w:r>
          </w:p>
        </w:tc>
        <w:tc>
          <w:tcPr>
            <w:tcW w:type="dxa" w:w="7704"/>
            <w:vAlign w:val="center"/>
          </w:tcPr>
          <w:p>
            <w:pPr>
              <w:spacing w:after="0" w:before="0"/>
            </w:pPr>
            <w:r/>
            <w:r>
              <w:rPr>
                <w:rFonts w:ascii="Arial" w:hAnsi="Arial" w:eastAsia="Arial"/>
                <w:b w:val="0"/>
                <w:sz w:val="18"/>
              </w:rPr>
              <w:t>100 mm theo z cục bộ của axis6; hướng TCP lấy từ localRotation của GameObject tcp</w:t>
            </w:r>
          </w:p>
        </w:tc>
      </w:tr>
      <w:tr>
        <w:tc>
          <w:tcPr>
            <w:tcW w:type="dxa" w:w="1512"/>
            <w:vAlign w:val="center"/>
            <w:shd w:fill="F1F5F8"/>
          </w:tcPr>
          <w:p>
            <w:pPr>
              <w:spacing w:after="0" w:before="0"/>
            </w:pPr>
            <w:r/>
            <w:r>
              <w:rPr>
                <w:rFonts w:ascii="Arial" w:hAnsi="Arial" w:eastAsia="Arial"/>
                <w:b w:val="0"/>
                <w:sz w:val="18"/>
              </w:rPr>
              <w:t>Offset d</w:t>
            </w:r>
          </w:p>
        </w:tc>
        <w:tc>
          <w:tcPr>
            <w:tcW w:type="dxa" w:w="7704"/>
            <w:vAlign w:val="center"/>
            <w:shd w:fill="F1F5F8"/>
          </w:tcPr>
          <w:p>
            <w:pPr>
              <w:spacing w:after="0" w:before="0"/>
            </w:pPr>
            <w:r/>
            <w:r>
              <w:rPr>
                <w:rFonts w:ascii="Arial" w:hAnsi="Arial" w:eastAsia="Arial"/>
                <w:b w:val="0"/>
                <w:sz w:val="18"/>
              </w:rPr>
              <w:t>d5 = 125 mm, d6 = 111.3 mm; hai offset nằm trên hai frame khác nhau và được xử lý riêng</w:t>
            </w:r>
          </w:p>
        </w:tc>
      </w:tr>
    </w:tbl>
    <w:p>
      <w:pPr>
        <w:spacing w:after="0"/>
      </w:pPr>
    </w:p>
    <w:p>
      <w:r>
        <w:t>Các công thức và bảng thông số trong tài liệu khớp với mô hình DH được dùng bởi DobotCR10AKinematics.cs. Để tính ra một bộ góc số cụ thể, cần cung cấp pose TCP mục tiêu (x, y, z, roll, pitch, yaw).</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A537A"/>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65F8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eastAsia="Arial"/>
      <w:b/>
      <w:color w:val="1A39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563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Động học thuận và động học nghịch robot Dobot CR10A</dc:title>
  <dc:subject>Tính FK và IK theo bảng DH hiện tại có xét TCP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