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ProConta</w:t>
      </w:r>
    </w:p>
    <w:p>
      <w:pPr>
        <w:widowControl/>
      </w:pPr>
      <w:r>
        <w:t>Especificación funcional y paquete de continuidad</w:t>
      </w:r>
    </w:p>
    <w:p>
      <w:pPr>
        <w:widowControl/>
      </w:pPr>
      <w:r>
        <w:t>Versión documental 1.0 · Corte de fuentes 3 de octubre de 2026</w:t>
      </w:r>
    </w:p>
    <w:p>
      <w:pPr>
        <w:widowControl/>
      </w:pPr>
      <w:r>
        <w:t>Documento de reconstrucción del producto. No constituye autorización para emitir facturas, enviar correos, transformar bases originales ni activar procesos automáticos. Es independiente del código acumulado y se acompaña de contratos de detalle y un manifiesto de procedencia.</w:t>
      </w:r>
    </w:p>
    <w:p>
      <w:pPr>
        <w:pStyle w:val="Heading1"/>
      </w:pPr>
      <w:r>
        <w:t>Índice de materias</w:t>
      </w:r>
    </w:p>
    <w:p>
      <w:pPr>
        <w:spacing w:after="40"/>
      </w:pPr>
      <w:r>
        <w:rPr>
          <w:sz w:val="20"/>
        </w:rPr>
        <w:t>1 Propósito y modo de lectura</w:t>
      </w:r>
    </w:p>
    <w:p>
      <w:pPr>
        <w:spacing w:after="40"/>
      </w:pPr>
      <w:r>
        <w:rPr>
          <w:sz w:val="20"/>
        </w:rPr>
        <w:t>2 Producto y límites de alcance</w:t>
      </w:r>
    </w:p>
    <w:p>
      <w:pPr>
        <w:spacing w:after="40"/>
      </w:pPr>
      <w:r>
        <w:rPr>
          <w:sz w:val="20"/>
        </w:rPr>
        <w:t>3 Responsabilidades y contratos entre módulos</w:t>
      </w:r>
    </w:p>
    <w:p>
      <w:pPr>
        <w:spacing w:after="40"/>
      </w:pPr>
      <w:r>
        <w:rPr>
          <w:sz w:val="20"/>
        </w:rPr>
        <w:t>4 Configuración global y compatibilidad de datos</w:t>
      </w:r>
    </w:p>
    <w:p>
      <w:pPr>
        <w:spacing w:after="40"/>
      </w:pPr>
      <w:r>
        <w:rPr>
          <w:sz w:val="20"/>
        </w:rPr>
        <w:t>5 Seguridad y pantalla de acceso</w:t>
      </w:r>
    </w:p>
    <w:p>
      <w:pPr>
        <w:spacing w:after="40"/>
      </w:pPr>
      <w:r>
        <w:rPr>
          <w:sz w:val="20"/>
        </w:rPr>
        <w:t>6 Contenedor y sistema visual compartido</w:t>
      </w:r>
    </w:p>
    <w:p>
      <w:pPr>
        <w:spacing w:after="40"/>
      </w:pPr>
      <w:r>
        <w:rPr>
          <w:sz w:val="20"/>
        </w:rPr>
        <w:t>7 Terceros e identidad común</w:t>
      </w:r>
    </w:p>
    <w:p>
      <w:pPr>
        <w:spacing w:after="40"/>
      </w:pPr>
      <w:r>
        <w:rPr>
          <w:sz w:val="20"/>
        </w:rPr>
        <w:t>8 Mantenimiento genérico de parámetros</w:t>
      </w:r>
    </w:p>
    <w:p>
      <w:pPr>
        <w:spacing w:after="40"/>
      </w:pPr>
      <w:r>
        <w:rPr>
          <w:sz w:val="20"/>
        </w:rPr>
        <w:t>9 Conceptos contratos y parámetros de facturación</w:t>
      </w:r>
    </w:p>
    <w:p>
      <w:pPr>
        <w:spacing w:after="40"/>
      </w:pPr>
      <w:r>
        <w:rPr>
          <w:sz w:val="20"/>
        </w:rPr>
        <w:t>10 Facturas de venta y cálculo</w:t>
      </w:r>
    </w:p>
    <w:p>
      <w:pPr>
        <w:spacing w:after="40"/>
      </w:pPr>
      <w:r>
        <w:rPr>
          <w:sz w:val="20"/>
        </w:rPr>
        <w:t>11 VeriFactu y recuperación fiscal</w:t>
      </w:r>
    </w:p>
    <w:p>
      <w:pPr>
        <w:spacing w:after="40"/>
      </w:pPr>
      <w:r>
        <w:rPr>
          <w:sz w:val="20"/>
        </w:rPr>
        <w:t>12 Facturación programada y lotes</w:t>
      </w:r>
    </w:p>
    <w:p>
      <w:pPr>
        <w:spacing w:after="40"/>
      </w:pPr>
      <w:r>
        <w:rPr>
          <w:sz w:val="20"/>
        </w:rPr>
        <w:t>13 Reservas de alojamiento</w:t>
      </w:r>
    </w:p>
    <w:p>
      <w:pPr>
        <w:spacing w:after="40"/>
      </w:pPr>
      <w:r>
        <w:rPr>
          <w:sz w:val="20"/>
        </w:rPr>
        <w:t>14 Compras y reconocimiento de facturas</w:t>
      </w:r>
    </w:p>
    <w:p>
      <w:pPr>
        <w:spacing w:after="40"/>
      </w:pPr>
      <w:r>
        <w:rPr>
          <w:sz w:val="20"/>
        </w:rPr>
        <w:t>15 Cuentas centros asientos mayor y balances</w:t>
      </w:r>
    </w:p>
    <w:p>
      <w:pPr>
        <w:spacing w:after="40"/>
      </w:pPr>
      <w:r>
        <w:rPr>
          <w:sz w:val="20"/>
        </w:rPr>
        <w:t>16 Procesos contables y modelos tributarios</w:t>
      </w:r>
    </w:p>
    <w:p>
      <w:pPr>
        <w:spacing w:after="40"/>
      </w:pPr>
      <w:r>
        <w:rPr>
          <w:sz w:val="20"/>
        </w:rPr>
        <w:t>17 Asistente contable</w:t>
      </w:r>
    </w:p>
    <w:p>
      <w:pPr>
        <w:spacing w:after="40"/>
      </w:pPr>
      <w:r>
        <w:rPr>
          <w:sz w:val="20"/>
        </w:rPr>
        <w:t>18 Nóminas</w:t>
      </w:r>
    </w:p>
    <w:p>
      <w:pPr>
        <w:spacing w:after="40"/>
      </w:pPr>
      <w:r>
        <w:rPr>
          <w:sz w:val="20"/>
        </w:rPr>
        <w:t>19 Norma 43 y tesorería</w:t>
      </w:r>
    </w:p>
    <w:p>
      <w:pPr>
        <w:spacing w:after="40"/>
      </w:pPr>
      <w:r>
        <w:rPr>
          <w:sz w:val="20"/>
        </w:rPr>
        <w:t>20 Activos e inversiones</w:t>
      </w:r>
    </w:p>
    <w:p>
      <w:pPr>
        <w:spacing w:after="40"/>
      </w:pPr>
      <w:r>
        <w:rPr>
          <w:sz w:val="20"/>
        </w:rPr>
        <w:t>21 Gestión documental</w:t>
      </w:r>
    </w:p>
    <w:p>
      <w:pPr>
        <w:spacing w:after="40"/>
      </w:pPr>
      <w:r>
        <w:rPr>
          <w:sz w:val="20"/>
        </w:rPr>
        <w:t>22 Correo individual registro y lotes</w:t>
      </w:r>
    </w:p>
    <w:p>
      <w:pPr>
        <w:spacing w:after="40"/>
      </w:pPr>
      <w:r>
        <w:rPr>
          <w:sz w:val="20"/>
        </w:rPr>
        <w:t>23 Recepción y procesamiento de correo</w:t>
      </w:r>
    </w:p>
    <w:p>
      <w:pPr>
        <w:spacing w:after="40"/>
      </w:pPr>
      <w:r>
        <w:rPr>
          <w:sz w:val="20"/>
        </w:rPr>
        <w:t>24 Reporting y gráficos</w:t>
      </w:r>
    </w:p>
    <w:p>
      <w:pPr>
        <w:spacing w:after="40"/>
      </w:pPr>
      <w:r>
        <w:rPr>
          <w:sz w:val="20"/>
        </w:rPr>
        <w:t>25 ActualizadorEsquema y base maestra</w:t>
      </w:r>
    </w:p>
    <w:p>
      <w:pPr>
        <w:spacing w:after="40"/>
      </w:pPr>
      <w:r>
        <w:rPr>
          <w:sz w:val="20"/>
        </w:rPr>
        <w:t>26 MigradorERP e Importador ContaSol</w:t>
      </w:r>
    </w:p>
    <w:p>
      <w:pPr>
        <w:spacing w:after="40"/>
      </w:pPr>
      <w:r>
        <w:rPr>
          <w:sz w:val="20"/>
        </w:rPr>
        <w:t>27 Requisitos transversales de ingeniería y operación</w:t>
      </w:r>
    </w:p>
    <w:p>
      <w:pPr>
        <w:spacing w:after="40"/>
      </w:pPr>
      <w:r>
        <w:rPr>
          <w:sz w:val="20"/>
        </w:rPr>
        <w:t>28 Estado de partida y deuda que no debe convertirse en requisito</w:t>
      </w:r>
    </w:p>
    <w:p>
      <w:pPr>
        <w:spacing w:after="40"/>
      </w:pPr>
      <w:r>
        <w:rPr>
          <w:sz w:val="20"/>
        </w:rPr>
        <w:t>29 Registro de decisiones abiertas</w:t>
      </w:r>
    </w:p>
    <w:p>
      <w:pPr>
        <w:spacing w:after="40"/>
      </w:pPr>
      <w:r>
        <w:rPr>
          <w:sz w:val="20"/>
        </w:rPr>
        <w:t>30 Orden de reconstrucción y aceptación global</w:t>
      </w:r>
    </w:p>
    <w:p>
      <w:pPr>
        <w:spacing w:after="40"/>
      </w:pPr>
      <w:r>
        <w:rPr>
          <w:sz w:val="20"/>
        </w:rPr>
        <w:t>31 Fuentes anexos y uso por otro modelo</w:t>
      </w:r>
    </w:p>
    <w:p>
      <w:pPr>
        <w:pStyle w:val="Heading1"/>
      </w:pPr>
      <w:r>
        <w:t>1 Propósito y modo de lectura</w:t>
      </w:r>
    </w:p>
    <w:p>
      <w:pPr>
        <w:widowControl/>
      </w:pPr>
      <w:r>
        <w:t>ProConta sustituye el ERP actual para emitir facturas electrónicas mediante VeriFactu y, después, incorpora contabilidad automatizada por áreas funcionales. La primera prioridad del usuario es poder abandonar el ERP para facturar. La segunda es poner en marcha compras, ventas, nóminas, bancos, mayor, balances y demás procesos de forma gradual, sin duplicar sus motores.</w:t>
      </w:r>
    </w:p>
    <w:p>
      <w:pPr>
        <w:widowControl/>
      </w:pPr>
      <w:r>
        <w:t>Este documento reúne los requisitos recuperados de las decisiones del usuario, los contratos publicados y las piezas funcionales disponibles. No afirma que todas las áreas estén implementadas ni que toda idea de una maqueta haya sido aprobada. Las fuentes históricas están incluidas para conservar el detalle que no cabe razonablemente en una única narración. Ningún hilo o ruta externa resulta imprescindible para leer el núcleo de este paquete.</w:t>
      </w:r>
    </w:p>
    <w:p>
      <w:pPr>
        <w:widowControl/>
      </w:pPr>
      <w:r>
        <w:t>Los identificadores RF permiten convertir cada requisito en trabajo y pruebas. Se utiliza la siguiente clasificación:</w:t>
      </w:r>
    </w:p>
    <w:p>
      <w:pPr>
        <w:pStyle w:val="ListBullet"/>
        <w:widowControl/>
      </w:pPr>
      <w:r>
        <w:t>Acordado: decisión expresa del usuario o contrato funcional consolidado. Debe conservarse salvo cambio explícito.</w:t>
      </w:r>
    </w:p>
    <w:p>
      <w:pPr>
        <w:pStyle w:val="ListBullet"/>
        <w:widowControl/>
      </w:pPr>
      <w:r>
        <w:t>Documentado: comportamiento descrito por un módulo o constatado en su código. Es referencia para reconstruir y comprobar; no demuestra aprobación independiente ni integración.</w:t>
      </w:r>
    </w:p>
    <w:p>
      <w:pPr>
        <w:pStyle w:val="ListBullet"/>
        <w:widowControl/>
      </w:pPr>
      <w:r>
        <w:t>Propuesto: diseño sugerido aún no ratificado. No debe activarse por inferencia.</w:t>
      </w:r>
    </w:p>
    <w:p>
      <w:pPr>
        <w:pStyle w:val="ListBullet"/>
        <w:widowControl/>
      </w:pPr>
      <w:r>
        <w:t>Pendiente: falta una decisión, un contrato, un catálogo o evidencia suficiente.</w:t>
      </w:r>
    </w:p>
    <w:p>
      <w:pPr>
        <w:widowControl/>
      </w:pPr>
      <w:r>
        <w:t>Cada sección indica su procedencia por módulo y nombre de documento. El índice 04_FUENTES.md resuelve esas referencias dentro del paquete. Las citas de estado describen lo observado o comunicado a la fecha de la fuente; no son una nueva ejecución de sus pruebas. Las referencias de código son evidencia selectiva, nunca una instrucción de copiar la implementación.</w:t>
      </w:r>
    </w:p>
    <w:p>
      <w:pPr>
        <w:pStyle w:val="Heading2"/>
      </w:pPr>
      <w:r>
        <w:t>1.1 Precedencia y conflictos</w:t>
      </w:r>
    </w:p>
    <w:p>
      <w:pPr>
        <w:widowControl/>
      </w:pPr>
      <w:r>
        <w:t>Prevalecen las decisiones explícitas y posteriores del usuario sobre documentos antiguos, comportamiento accidental y datos simulados. Este texto identifica las sustituciones conocidas. Si dos contratos contemporáneos discrepan y no hay decisión expresa, el nuevo modelo deberá registrar el conflicto y resolverlo antes de implementar la parte afectada; puede avanzar el trabajo independiente.</w:t>
      </w:r>
    </w:p>
    <w:p>
      <w:pPr>
        <w:widowControl/>
      </w:pPr>
      <w:r>
        <w:t>La BD adjunta establece la estructura física real del corte elegido, pero no define por sí sola todas las reglas de negocio. Las maquetas establecen apariencia e interacción aprobadas, pero no autorizan efectos externos ni crean políticas. El código antiguo sirve para recuperar algoritmos y casos de prueba; sus fallos, límites temporales y duplicaciones no son requisitos.</w:t>
      </w:r>
    </w:p>
    <w:p>
      <w:pPr>
        <w:widowControl/>
      </w:pPr>
      <w:r>
        <w:t>No se ha revalidado normativa tributaria, plazos legales, compatibilidad de proveedores externos ni licencias a fecha de esta entrega. Se conserva la especificación histórica del proyecto; su validación contra fuentes oficiales vigentes será un criterio de salida a producción.</w:t>
      </w:r>
    </w:p>
    <w:p>
      <w:pPr>
        <w:pStyle w:val="Heading1"/>
      </w:pPr>
      <w:r>
        <w:t>2 Producto y límites de alcance</w:t>
      </w:r>
    </w:p>
    <w:p>
      <w:pPr>
        <w:widowControl/>
      </w:pPr>
      <w:r>
        <w:rPr>
          <w:b/>
        </w:rPr>
        <w:t xml:space="preserve">RF-GEN-01 · Acordado. </w:t>
      </w:r>
      <w:r>
        <w:t>Aplicación de escritorio Windows. La nueva interfaz se desarrolla en WPF, conservando la aplicación anterior como referencia. El lenguaje y la plataforma acordados son VB.NET, .NET 10 LTS y x64; la persistencia continúa en Access mediante ACE/OLE DB. Las reglas antiguas WinForms/Krypton de AGENTS y otros documentos corresponden a la etapa previa y no deben provocar la reconstrucción de las nuevas pantallas en WinForms.</w:t>
      </w:r>
    </w:p>
    <w:p>
      <w:pPr>
        <w:widowControl/>
      </w:pPr>
      <w:r>
        <w:rPr>
          <w:b/>
        </w:rPr>
        <w:t xml:space="preserve">RF-GEN-02 · Acordado. </w:t>
      </w:r>
      <w:r>
        <w:t>La posible versión web se ha explorado como evolución futura, no como cambio autorizado del producto actual. Una BD por cliente, despliegues escalonados o aislamiento multiinquilino no son requisitos aprobados para este incremento. Preparar contratos independientes de la presentación permite otra UI sin obligar a construir ahora servicios web.</w:t>
      </w:r>
    </w:p>
    <w:p>
      <w:pPr>
        <w:widowControl/>
      </w:pPr>
      <w:r>
        <w:rPr>
          <w:b/>
        </w:rPr>
        <w:t xml:space="preserve">RF-GEN-03 · Acordado. </w:t>
      </w:r>
      <w:r>
        <w:t>Una identidad de tercero es transversal; los datos fiscales emitidos son históricos. Los servicios funcionales son reutilizables desde pantallas completas, pestañas embebidas, importadores y procesos automáticos.</w:t>
      </w:r>
    </w:p>
    <w:p>
      <w:pPr>
        <w:widowControl/>
      </w:pPr>
      <w:r>
        <w:rPr>
          <w:b/>
        </w:rPr>
        <w:t xml:space="preserve">RF-GEN-04 · Documentado. </w:t>
      </w:r>
      <w:r>
        <w:t>No se presume almacén, inventario comercial, cálculo laboral completo, cliente general de correo ni presentación telemática completa de todos los modelos tributarios. La existencia de una tabla o un menú no amplía ese alcance.</w:t>
      </w:r>
    </w:p>
    <w:p>
      <w:pPr>
        <w:widowControl/>
      </w:pPr>
      <w:r>
        <w:rPr>
          <w:b/>
        </w:rPr>
        <w:t xml:space="preserve">RF-GEN-05 · Acordado. </w:t>
      </w:r>
      <w:r>
        <w:t>Hay dos migraciones de datos de negocio distintas: ERP existente, para una única implantación, y ContaSol, reutilizable para nuevos usuarios y ejercicios. ActualizadorEsquema evoluciona estructuras; no es un tercer importador de negocio. Nóminas, Norma 43 y facturas son importaciones operativas.</w:t>
      </w:r>
    </w:p>
    <w:p>
      <w:pPr>
        <w:pStyle w:val="Heading1"/>
      </w:pPr>
      <w:r>
        <w:t>3 Responsabilidades y contratos entre módulos</w:t>
      </w:r>
    </w:p>
    <w:p>
      <w:pPr>
        <w:widowControl/>
      </w:pPr>
      <w:r>
        <w:t>La organización es funcional, no un hilo por tabla ni una jerarquía física de ventanas. Los prefijos permiten localizar al propietario; los IDs antiguos se conservan solo como procedencia. Un módulo puede tener varias pantallas y varios desarrollos coordinados.</w:t>
      </w:r>
    </w:p>
    <w:p>
      <w:pPr>
        <w:pStyle w:val="ListBullet"/>
        <w:widowControl/>
      </w:pPr>
      <w:r>
        <w:t>CFG-GLOBAL resuelve ubicaciones, configuración local y arranque de datos.</w:t>
      </w:r>
    </w:p>
    <w:p>
      <w:pPr>
        <w:pStyle w:val="ListBullet"/>
        <w:widowControl/>
      </w:pPr>
      <w:r>
        <w:t>SEG-ACCESO autentica, mantiene operadores y grupos, autoriza y expone la sesión validada.</w:t>
      </w:r>
    </w:p>
    <w:p>
      <w:pPr>
        <w:pStyle w:val="ListBullet"/>
        <w:widowControl/>
      </w:pPr>
      <w:r>
        <w:t>UI-BASE publica recursos, componentes y pautas WPF compartidos.</w:t>
      </w:r>
    </w:p>
    <w:p>
      <w:pPr>
        <w:pStyle w:val="ListBullet"/>
        <w:widowControl/>
      </w:pPr>
      <w:r>
        <w:t>UI-PRINCIPAL compone acceso, navegación, contexto y alojamiento de módulos.</w:t>
      </w:r>
    </w:p>
    <w:p>
      <w:pPr>
        <w:pStyle w:val="ListBullet"/>
        <w:widowControl/>
      </w:pPr>
      <w:r>
        <w:t>DAT-TERCEROS posee identidad, roles, contactos, domicilios, perfiles e historial del tercero.</w:t>
      </w:r>
    </w:p>
    <w:p>
      <w:pPr>
        <w:pStyle w:val="ListBullet"/>
        <w:widowControl/>
      </w:pPr>
      <w:r>
        <w:t>CFG-MANT presenta parámetros y colecciones mediante proveedores; no adquiere propiedad de las tablas.</w:t>
      </w:r>
    </w:p>
    <w:p>
      <w:pPr>
        <w:pStyle w:val="ListBullet"/>
        <w:widowControl/>
      </w:pPr>
      <w:r>
        <w:t>Facturación posee conceptos facturables, facturas, programaciones y sus reglas; FAC-LIS y FAC-DET son consumidores visuales. FAC-VF encapsula el intercambio fiscal. La asignación detallada de Contratos/Conceptos aún debe formalizarse.</w:t>
      </w:r>
    </w:p>
    <w:p>
      <w:pPr>
        <w:pStyle w:val="ListBullet"/>
        <w:widowControl/>
      </w:pPr>
      <w:r>
        <w:t>COM reconoce y registra compras; contabilidad, recepción y gestión documental consumen su resultado.</w:t>
      </w:r>
    </w:p>
    <w:p>
      <w:pPr>
        <w:pStyle w:val="ListBullet"/>
        <w:widowControl/>
      </w:pPr>
      <w:r>
        <w:t>CON-CUE posee cuentas e identidades contables; CON-ASI valida y persiste asientos; CON-GES coordina procesos contables; CON-MOD calcula modelos; CON-IA prepara propuestas asistidas.</w:t>
      </w:r>
    </w:p>
    <w:p>
      <w:pPr>
        <w:pStyle w:val="ListBullet"/>
        <w:widowControl/>
      </w:pPr>
      <w:r>
        <w:t>TES-N43 posee importación y consulta bancaria; no se le atribuye automáticamente toda tesorería.</w:t>
      </w:r>
    </w:p>
    <w:p>
      <w:pPr>
        <w:pStyle w:val="ListBullet"/>
        <w:widowControl/>
      </w:pPr>
      <w:r>
        <w:t>NOM posee importación y contabilización de nóminas. ACT posee activos y posiciones.</w:t>
      </w:r>
    </w:p>
    <w:p>
      <w:pPr>
        <w:pStyle w:val="ListBullet"/>
        <w:widowControl/>
      </w:pPr>
      <w:r>
        <w:t>INF-COR posee cuentas, transporte y UI común de correo; INF-DIS posee procesamiento, idempotencia y coordinación. DOC-GESTOR posee documentos y vínculos.</w:t>
      </w:r>
    </w:p>
    <w:p>
      <w:pPr>
        <w:pStyle w:val="ListBullet"/>
        <w:widowControl/>
      </w:pPr>
      <w:r>
        <w:t>INF-REP presenta informes; INF-GRA renderiza gráficos. No calculan reglas de negocio ajenas.</w:t>
      </w:r>
    </w:p>
    <w:p>
      <w:pPr>
        <w:pStyle w:val="ListBullet"/>
        <w:widowControl/>
      </w:pPr>
      <w:r>
        <w:t>INF-ESQ mantiene versiones físicas; MIG-ERP y MIG-CS coordinan sus respectivas cargas.</w:t>
      </w:r>
    </w:p>
    <w:p>
      <w:pPr>
        <w:widowControl/>
      </w:pPr>
      <w:r>
        <w:rPr>
          <w:b/>
        </w:rPr>
        <w:t xml:space="preserve">RF-ARQ-01 · Acordado. </w:t>
      </w:r>
      <w:r>
        <w:t>Cada tabla o agregado tendrá un propietario funcional y una vía autorizada de escritura. Compartir una tabla significa publicar contratos y validar referencias, no permitir que cada módulo ejecute sus propias modificaciones.</w:t>
      </w:r>
    </w:p>
    <w:p>
      <w:pPr>
        <w:widowControl/>
      </w:pPr>
      <w:r>
        <w:rPr>
          <w:b/>
        </w:rPr>
        <w:t xml:space="preserve">RF-ARQ-02 · Acordado. </w:t>
      </w:r>
      <w:r>
        <w:t>El contrato mínimo publica entradas, salidas, contexto, permisos, efectos, errores recuperables, transacción, idempotencia, concurrencia y pruebas. Por ejemplo, la hora de autenticación se solicita a Seguridad; no se deduce de una ventana o de la última modificación del operador.</w:t>
      </w:r>
    </w:p>
    <w:p>
      <w:pPr>
        <w:widowControl/>
      </w:pPr>
      <w:r>
        <w:rPr>
          <w:b/>
        </w:rPr>
        <w:t xml:space="preserve">RF-ARQ-03 · Acordado. </w:t>
      </w:r>
      <w:r>
        <w:t>Una pestaña de Terceros puede alojar el mayor de Contabilidad, los listados de Facturación o Documentos. El propietario entrega el componente y los servicios. El anfitrión pasa contexto y capacidades admitidas. Se prefieren modos de uso explícitos y composición a decenas de indicadores que oculten opciones arbitrariamente.</w:t>
      </w:r>
    </w:p>
    <w:p>
      <w:pPr>
        <w:widowControl/>
      </w:pPr>
      <w:r>
        <w:rPr>
          <w:b/>
        </w:rPr>
        <w:t xml:space="preserve">RF-ARQ-04 · Pendiente. </w:t>
      </w:r>
      <w:r>
        <w:t>La autoridad organizativa de Sociedades, SociedadesEjercicios y determinados catálogos debe ratificarse. No corresponde automáticamente a Seguridad ni al mantenimiento genérico. La propuesta del mapa es configuración organizativa; centros y cuentas corresponden al dominio contable.</w:t>
      </w:r>
    </w:p>
    <w:p>
      <w:pPr>
        <w:widowControl/>
      </w:pPr>
      <w:r>
        <w:rPr>
          <w:sz w:val="18"/>
        </w:rPr>
        <w:t>Fuentes: MAPA_PROYECTO.md, DIRECTORIO_CONTRATOS.md y contratos de cada módulo.</w:t>
      </w:r>
    </w:p>
    <w:p>
      <w:pPr>
        <w:pStyle w:val="Heading1"/>
      </w:pPr>
      <w:r>
        <w:t>4 Configuración global y compatibilidad de datos</w:t>
      </w:r>
    </w:p>
    <w:p>
      <w:pPr>
        <w:widowControl/>
      </w:pPr>
      <w:r>
        <w:rPr>
          <w:b/>
        </w:rPr>
        <w:t xml:space="preserve">RF-CFG-01 · Documentado. </w:t>
      </w:r>
      <w:r>
        <w:t>Un único resolutor proporciona directorio de datos y ruta exacta de la BD. Ningún módulo busca por su cuenta otro accdb, interpreta variables de entorno o cambia a una base alternativa ante un error.</w:t>
      </w:r>
    </w:p>
    <w:p>
      <w:pPr>
        <w:widowControl/>
      </w:pPr>
      <w:r>
        <w:rPr>
          <w:b/>
        </w:rPr>
        <w:t xml:space="preserve">RF-CFG-02 · Documentado. </w:t>
      </w:r>
      <w:r>
        <w:t>La precedencia actual es directorio por argumentos, BD por argumentos, entorno, configuración local de usuario, configuración heredada junto al ejecutable, última selección y asistente interactivo. Los argumentos incompatibles son error. Una fuente prioritaria inválida no habilita un fallback silencioso. El modo desatendido no abre selectores.</w:t>
      </w:r>
    </w:p>
    <w:p>
      <w:pPr>
        <w:widowControl/>
      </w:pPr>
      <w:r>
        <w:rPr>
          <w:b/>
        </w:rPr>
        <w:t xml:space="preserve">RF-CFG-03 · Acordado. </w:t>
      </w:r>
      <w:r>
        <w:t>La ruta de datos del puesto se almacena fuera de Access. La configuración funcional se mantiene por su módulo y contexto. Secretos, certificados privados y contraseñas no se guardan como valores ordinarios del mantenimiento genérico ni se incorporan al paquete de traspaso.</w:t>
      </w:r>
    </w:p>
    <w:p>
      <w:pPr>
        <w:widowControl/>
      </w:pPr>
      <w:r>
        <w:rPr>
          <w:b/>
        </w:rPr>
        <w:t xml:space="preserve">RF-CFG-04 · Acordado. </w:t>
      </w:r>
      <w:r>
        <w:t>Al arrancar se comprueba versión y compatibilidad del esquema. Una tabla requerida ausente o un fallo de lectura no significa catálogo vacío, ausencia de permisos ni falta de datos.</w:t>
      </w:r>
    </w:p>
    <w:p>
      <w:pPr>
        <w:widowControl/>
      </w:pPr>
      <w:r>
        <w:rPr>
          <w:b/>
        </w:rPr>
        <w:t xml:space="preserve">RF-CFG-05 · Documentado. </w:t>
      </w:r>
      <w:r>
        <w:t>El prototipo entregado usa ProConta.accdb como copia de pruebas; ProcontaVF.accdb y la nueva maestra de Actualizador no son intercambiables por nombre. El nuevo proyecto deberá elegir explícitamente el contrato adjunto y probarlo sobre copias.</w:t>
      </w:r>
    </w:p>
    <w:p>
      <w:pPr>
        <w:widowControl/>
      </w:pPr>
      <w:r>
        <w:rPr>
          <w:sz w:val="18"/>
        </w:rPr>
        <w:t>Aceptación: selección cancelada no altera configuración; ruta inválida informa la ubicación exacta y acción correctora; cambio válido se guarda de forma íntegra; arranque no crea otra BD ni migra una original sin encargo expreso.</w:t>
      </w:r>
    </w:p>
    <w:p>
      <w:pPr>
        <w:widowControl/>
      </w:pPr>
      <w:r>
        <w:rPr>
          <w:sz w:val="18"/>
        </w:rPr>
        <w:t>Fuente: ConfiguracionGlobal/CONFIGURACION_DATOS.md y CONTRATO_PUBLICO.md.</w:t>
      </w:r>
    </w:p>
    <w:p>
      <w:pPr>
        <w:pStyle w:val="Heading1"/>
      </w:pPr>
      <w:r>
        <w:t>5 Seguridad y pantalla de acceso</w:t>
      </w:r>
    </w:p>
    <w:p>
      <w:pPr>
        <w:widowControl/>
      </w:pPr>
      <w:r>
        <w:rPr>
          <w:b/>
        </w:rPr>
        <w:t xml:space="preserve">RF-SEG-01 · Acordado. </w:t>
      </w:r>
      <w:r>
        <w:t>El acceso se divide en cuatro fases: usuario, contraseña, empresa y ejercicio. Las empresas solo se consultan después de autenticar y se limitan a las autorizadas. No se permite descubrir las restantes mediante listados, recuentos o errores de selección.</w:t>
      </w:r>
    </w:p>
    <w:p>
      <w:pPr>
        <w:widowControl/>
      </w:pPr>
      <w:r>
        <w:rPr>
          <w:b/>
        </w:rPr>
        <w:t xml:space="preserve">RF-SEG-02 · Acordado. </w:t>
      </w:r>
      <w:r>
        <w:t>Empresa y ejercicio proponen las últimas selecciones válidas del operador. Las preferencias se confirman al completar el acceso; si ya no son accesibles, se solicita otra elección. Un ejercicio cerrado se puede abrir para consultar. El cierre limita operaciones, no el login; se podrá reabrir mediante el proceso contable autorizado.</w:t>
      </w:r>
    </w:p>
    <w:p>
      <w:pPr>
        <w:widowControl/>
      </w:pPr>
      <w:r>
        <w:rPr>
          <w:b/>
        </w:rPr>
        <w:t xml:space="preserve">RF-SEG-03 · Acordado. </w:t>
      </w:r>
      <w:r>
        <w:t>OperadoresSeguridad identifica al operador; OperadoresGrupos representa pertenencias N:M con GruposOperadores. Las autorizaciones se establecen por grupos. AccesoSociedadesGrupo controla acceso a sociedades. La pertenencia permanente Sociedad y su instancia SociedadEjercicio son entidades distintas.</w:t>
      </w:r>
    </w:p>
    <w:p>
      <w:pPr>
        <w:widowControl/>
      </w:pPr>
      <w:r>
        <w:rPr>
          <w:b/>
        </w:rPr>
        <w:t xml:space="preserve">RF-SEG-04 · Acordado. </w:t>
      </w:r>
      <w:r>
        <w:t>La regla común se evalúa por ámbito completo: si no hay ningún permiso configurado en ese ámbito, todos los operadores autenticados y válidos tienen permiso. En cuanto existe configuración, se aplican sus asignaciones. Que un grupo nuevo carezca de filas dentro de un ámbito configurado no le da carta blanca. Tabla ausente, lectura fallida o esquema incompatible nunca equivalen a ámbito sin configurar.</w:t>
      </w:r>
    </w:p>
    <w:p>
      <w:pPr>
        <w:widowControl/>
      </w:pPr>
      <w:r>
        <w:rPr>
          <w:b/>
        </w:rPr>
        <w:t xml:space="preserve">RF-SEG-05 · Documentado. </w:t>
      </w:r>
      <w:r>
        <w:t>La sesión contiene identidad sin credenciales y FechaHoraAutenticacion con offset; se revalida al consultar entornos y ejecutar operaciones. Cerrar sesión invalida el token. Completar o cambiar entorno produce contexto validado y no reabre ejercicios. La autorización debe existir en servicios, además de habilitar u ocultar botones.</w:t>
      </w:r>
    </w:p>
    <w:p>
      <w:pPr>
        <w:widowControl/>
      </w:pPr>
      <w:r>
        <w:rPr>
          <w:b/>
        </w:rPr>
        <w:t xml:space="preserve">RF-SEG-06 · Documentado. </w:t>
      </w:r>
      <w:r>
        <w:t>Las contraseñas se almacenan con hash, salt e iteraciones; el motor observado utiliza PBKDF2-HMAC-SHA256 y comparación en tiempo constante. Los fallos de acceso no identifican cuál de las credenciales falló. La auditoría no registra secretos. La regeneración temporal por correo requiere cuenta/contexto válidos y recupera la credencial previa ante fallo conocido del envío; debe adaptarse a los estados inciertos de correo antes de producción.</w:t>
      </w:r>
    </w:p>
    <w:p>
      <w:pPr>
        <w:widowControl/>
      </w:pPr>
      <w:r>
        <w:rPr>
          <w:b/>
        </w:rPr>
        <w:t xml:space="preserve">RF-SEG-07 · Pendiente. </w:t>
      </w:r>
      <w:r>
        <w:t>Ratificar expiración, arranque sin operadores, permisos de administración, retención de auditoría, bloqueo por intentos y eventual segundo factor. No están aprobados ni implementados por el mero hecho de ser posibles mejoras. Las restricciones históricas de reports/procesos, donde una denegación de cualquier grupo vence, necesitan adaptación explícita a la política común y una regla de combinación de grupos.</w:t>
      </w:r>
    </w:p>
    <w:p>
      <w:pPr>
        <w:widowControl/>
      </w:pPr>
      <w:r>
        <w:rPr>
          <w:b/>
        </w:rPr>
        <w:t xml:space="preserve">RF-ACC-01 · Acordado. </w:t>
      </w:r>
      <w:r>
        <w:t>Login compacto, sin marco de caption ni controles estándar de ventana. Debe poder moverse con el ratón desde las zonas libres de ambos paneles, sin interceptar escritura, selección o acciones. Tiene una opción visible Salir; Alt+F4 no es la única salida. El icono de la izquierda puede cambiar por fase. La referencia elegida fue la segunda opción de la maqueta, posteriormente refinada en cuatro fases.</w:t>
      </w:r>
    </w:p>
    <w:p>
      <w:pPr>
        <w:widowControl/>
      </w:pPr>
      <w:r>
        <w:rPr>
          <w:sz w:val="18"/>
        </w:rPr>
        <w:t>Aceptación: operador sin permiso no ve ni puede seleccionar otra sociedad; grupo sin filas no hereda acceso en ámbito configurado; ejercicio cerrado permite entrar; cambiar contexto obliga a revalidar; controles de contraseña no filtran secretos al log; todas las fases son utilizables por teclado.</w:t>
      </w:r>
    </w:p>
    <w:p>
      <w:pPr>
        <w:widowControl/>
      </w:pPr>
      <w:r>
        <w:rPr>
          <w:sz w:val="18"/>
        </w:rPr>
        <w:t>Fuentes: acuerdos de acceso, Seguridad/CONTRATO_PUBLICO.md e INTEGRACION_ACCESO_REAL.md; decisiones expresas del usuario.</w:t>
      </w:r>
    </w:p>
    <w:p>
      <w:pPr>
        <w:pStyle w:val="Heading1"/>
      </w:pPr>
      <w:r>
        <w:t>6 Contenedor y sistema visual compartido</w:t>
      </w:r>
    </w:p>
    <w:p>
      <w:pPr>
        <w:widowControl/>
      </w:pPr>
      <w:r>
        <w:rPr>
          <w:b/>
        </w:rPr>
        <w:t xml:space="preserve">RF-UI-01 · Acordado. </w:t>
      </w:r>
      <w:r>
        <w:t>Contenedor con empresa y ejercicio, operador, navegación lateral, búsqueda de pantallas/acciones y área de trabajo con pestañas. Debe poder plegar navegación y ampliar área. El contexto se presenta con claridad sin repetirlo dentro de cada módulo innecesariamente.</w:t>
      </w:r>
    </w:p>
    <w:p>
      <w:pPr>
        <w:widowControl/>
      </w:pPr>
      <w:r>
        <w:rPr>
          <w:b/>
        </w:rPr>
        <w:t xml:space="preserve">RF-UI-02 · Acordado. </w:t>
      </w:r>
      <w:r>
        <w:t>Mantener el look and feel de las maquetas mediante estilos y XAML mantenible. Los campos ocuparán el ancho razonable para su contenido, no todo el disponible: teléfono, CP, NIF, fecha, etiqueta e importes no crecen como un memo. El límite visual no reduce la capacidad de almacenamiento. Valores largos, zoom y escalado deben seguir siendo accesibles.</w:t>
      </w:r>
    </w:p>
    <w:p>
      <w:pPr>
        <w:widowControl/>
      </w:pPr>
      <w:r>
        <w:rPr>
          <w:b/>
        </w:rPr>
        <w:t xml:space="preserve">RF-UI-03 · Acordado. </w:t>
      </w:r>
      <w:r>
        <w:t>Usar estilos compartidos para tipografía, colores, separaciones, pestañas, listas, estados, botones, focos y validaciones. No copiar estilos divergentes en cada pantalla ni introducir lógica de negocio en XAML/code-behind.</w:t>
      </w:r>
    </w:p>
    <w:p>
      <w:pPr>
        <w:widowControl/>
      </w:pPr>
      <w:r>
        <w:rPr>
          <w:b/>
        </w:rPr>
        <w:t xml:space="preserve">RF-UI-04 · Acordado. </w:t>
      </w:r>
      <w:r>
        <w:t>Los avisos técnicos permanentes de ruta, modo de pruebas o permisos no ocuparán bandas encima y debajo de las pestañas. Se trasladan a estado discreto o detalles diagnósticos. Las validaciones funcionales necesarias sí permanecen visibles cerca del dato o acción afectados.</w:t>
      </w:r>
    </w:p>
    <w:p>
      <w:pPr>
        <w:widowControl/>
      </w:pPr>
      <w:r>
        <w:rPr>
          <w:b/>
        </w:rPr>
        <w:t xml:space="preserve">RF-UI-05 · Documentado. </w:t>
      </w:r>
      <w:r>
        <w:t>Abrir/cerrar/cambiar ficha o contexto debe gestionar cambios pendientes y liberar componentes embebidos. Un resultado asincrónico de una ficha anterior no puede rellenar la actual. Una operación cuyo contexto se fijó al empezar no cambia de empresa porque cambie el shell.</w:t>
      </w:r>
    </w:p>
    <w:p>
      <w:pPr>
        <w:widowControl/>
      </w:pPr>
      <w:r>
        <w:rPr>
          <w:b/>
        </w:rPr>
        <w:t xml:space="preserve">RF-UI-06 · Acordado. </w:t>
      </w:r>
      <w:r>
        <w:t>Controles con ayuda descriptiva, navegación de teclado, foco visible, contraste suficiente y estados que no dependan solo del color. Mensajes cercanos en primera persona, con registro afectado, causa conocida y acción concreta; detalle técnico separado y copiable cuando sea útil.</w:t>
      </w:r>
    </w:p>
    <w:p>
      <w:pPr>
        <w:widowControl/>
      </w:pPr>
      <w:r>
        <w:rPr>
          <w:b/>
        </w:rPr>
        <w:t xml:space="preserve">RF-UI-07 · Propuesto. </w:t>
      </w:r>
      <w:r>
        <w:t>Virtualizar listados y evitar I/O en el hilo de UI; búsquedas cancelables y orden estable. Medir arranque, primera carga, tecleo y cambios de filtro con datos representativos. No se ha pactado un SLA numérico. La latencia comunicada pasó de segundos a instantánea al descargar Windows; su causa no quedó probada.</w:t>
      </w:r>
    </w:p>
    <w:p>
      <w:pPr>
        <w:widowControl/>
      </w:pPr>
      <w:r>
        <w:rPr>
          <w:sz w:val="18"/>
        </w:rPr>
        <w:t>Aceptación visual: comparar pantallas en iguales dimensiones y escala con las maquetas, incluyendo vacíos, errores, campos largos, listas grandes y cambios pendientes. Un render estático no acredita interacción ni conectividad real.</w:t>
      </w:r>
    </w:p>
    <w:p>
      <w:pPr>
        <w:widowControl/>
      </w:pPr>
      <w:r>
        <w:rPr>
          <w:sz w:val="18"/>
        </w:rPr>
        <w:t>Fuentes: contratos UI-BASE y UI-PRINCIPAL; requisitos de Terceros; entrega visual .10.</w:t>
      </w:r>
    </w:p>
    <w:p>
      <w:pPr>
        <w:pStyle w:val="Heading1"/>
      </w:pPr>
      <w:r>
        <w:t>7 Terceros e identidad común</w:t>
      </w:r>
    </w:p>
    <w:p>
      <w:pPr>
        <w:widowControl/>
      </w:pPr>
      <w:r>
        <w:rPr>
          <w:b/>
        </w:rPr>
        <w:t xml:space="preserve">RF-TER-01 · Acordado. </w:t>
      </w:r>
      <w:r>
        <w:t>Terceros.IdTercero es la identidad estable de persona u organización. NIF es revisable y no único. Nunca fusionar dos registros solo por NIF, nombre o similitud. Una importación usa mapas de origen y una decisión explícita de correspondencia cuando hay candidatos.</w:t>
      </w:r>
    </w:p>
    <w:p>
      <w:pPr>
        <w:widowControl/>
      </w:pPr>
      <w:r>
        <w:rPr>
          <w:b/>
        </w:rPr>
        <w:t xml:space="preserve">RF-TER-02 · Acordado. </w:t>
      </w:r>
      <w:r>
        <w:t>Tipos de persona: física, jurídica y entidad sin personalidad jurídica. Física requiere nombre; apellidos opcionales. Jurídica y entidad requieren razón social; nombre comercial opcional. Los registros antiguos pendientes de clasificación pueden conservar tipo nulo; no inventar clasificación al migrar.</w:t>
      </w:r>
    </w:p>
    <w:p>
      <w:pPr>
        <w:widowControl/>
      </w:pPr>
      <w:r>
        <w:rPr>
          <w:b/>
        </w:rPr>
        <w:t xml:space="preserve">RF-TER-03 · Acordado. </w:t>
      </w:r>
      <w:r>
        <w:t>Cliente, Proveedor y Contacto son roles opcionales de una identidad, con IDs funcionales propios para conservar referencias. Alta de rol existente es idempotente. La UI denomina la pestaña Roles, no Funciones. Los roles no son perfiles de clasificación ni grupos de seguridad.</w:t>
      </w:r>
    </w:p>
    <w:p>
      <w:pPr>
        <w:widowControl/>
      </w:pPr>
      <w:r>
        <w:rPr>
          <w:b/>
        </w:rPr>
        <w:t xml:space="preserve">RF-TER-04 · Acordado. </w:t>
      </w:r>
      <w:r>
        <w:t>Cuenta por rol y sociedad/ejercicio: Cliente una cuenta; Proveedor puede tener cuenta de Proveedor y de Acreedor, ambas bajo Forma de pago; Contacto carece de cuenta propia. No convertirlas en cuenta global del tercero. Quedan pendientes representación física, obligatoriedad y validaciones de la pareja Proveedor/Acreedor.</w:t>
      </w:r>
    </w:p>
    <w:p>
      <w:pPr>
        <w:widowControl/>
      </w:pPr>
      <w:r>
        <w:rPr>
          <w:b/>
        </w:rPr>
        <w:t xml:space="preserve">RF-TER-05 · Acordado. </w:t>
      </w:r>
      <w:r>
        <w:t>Orden de domicilio: País, CP, Provincia, Población, Vía y número. Provincia depende del país y población de provincia. Al confirmar CP, si identifica una sola provincia se selecciona y salta su parada; igual con población. Con ambigüedad se permite elegir; sin correspondencia no se inventa catálogo. Mostrar selección automática y permitir corregirla. No desplazar foco al cargar una ficha ya existente. Catálogo geográfico y separación física vía/número siguen pendientes.</w:t>
      </w:r>
    </w:p>
    <w:p>
      <w:pPr>
        <w:widowControl/>
      </w:pPr>
      <w:r>
        <w:rPr>
          <w:b/>
        </w:rPr>
        <w:t xml:space="preserve">RF-TER-06 · Documentado. </w:t>
      </w:r>
      <w:r>
        <w:t>Domicilio principal en Terceros y adicionales con finalidad en DomiciliosTercero. Datos comunes vivos se consultan desde el tercero, pero documentos emitidos conservan su instantánea fiscal.</w:t>
      </w:r>
    </w:p>
    <w:p>
      <w:pPr>
        <w:pStyle w:val="Heading2"/>
      </w:pPr>
      <w:r>
        <w:t>7.1 Contactos y destinatarios</w:t>
      </w:r>
    </w:p>
    <w:p>
      <w:pPr>
        <w:widowControl/>
      </w:pPr>
      <w:r>
        <w:rPr>
          <w:b/>
        </w:rPr>
        <w:t xml:space="preserve">RF-TER-07 · Acordado. </w:t>
      </w:r>
      <w:r>
        <w:t>Varios emails y teléfonos en DatosContacto, con etiqueta/tipo, Activo y flags independientes EnvioFacturas y EnviosAdministrativos. Desactivados se ignoran en comunicaciones automáticas.</w:t>
      </w:r>
    </w:p>
    <w:p>
      <w:pPr>
        <w:widowControl/>
      </w:pPr>
      <w:r>
        <w:rPr>
          <w:b/>
        </w:rPr>
        <w:t xml:space="preserve">RF-TER-08 · Acordado. </w:t>
      </w:r>
      <w:r>
        <w:t>Para una finalidad se usan todos los emails activos marcados. Si no hay ninguno marcado y existe una sola dirección activa distinta, se usa sin cambiar los flags. Si hay varias sin selección, se registra incidencia y no se elige una arbitrariamente. La incidencia no aborta la generación de las demás facturas ni otras fases independientes.</w:t>
      </w:r>
    </w:p>
    <w:p>
      <w:pPr>
        <w:widowControl/>
      </w:pPr>
      <w:r>
        <w:rPr>
          <w:b/>
        </w:rPr>
        <w:t xml:space="preserve">RF-TER-09 · Acordado. </w:t>
      </w:r>
      <w:r>
        <w:t>Mostrar destinatarios efectivos permanentemente en una pastilla o bloque informativo que se actualice al editar, sin botón previo de comprobación. Añadir Enviar email junto a cada email para invocar el compositor común. La invocación prepara destinatario/contexto; no envía automáticamente.</w:t>
      </w:r>
    </w:p>
    <w:p>
      <w:pPr>
        <w:widowControl/>
      </w:pPr>
      <w:r>
        <w:rPr>
          <w:b/>
        </w:rPr>
        <w:t xml:space="preserve">RF-TER-10 · Acordado. </w:t>
      </w:r>
      <w:r>
        <w:t>Distinguir contacto libre de tercero relacionado. Es posible introducir nombre, departamento, email y teléfono de una persona de contacto sin crear un tercero. ContactosLibresTercero agrupa esos datos dentro de su titular; DatosContacto.IdContactoLibre opcional distingue grupos y datos generales. No inferir agrupaciones de filas antiguas. Rechazar un grupo de otro titular y guardar altas/vínculos en una transacción.</w:t>
      </w:r>
    </w:p>
    <w:p>
      <w:pPr>
        <w:widowControl/>
      </w:pPr>
      <w:r>
        <w:rPr>
          <w:b/>
        </w:rPr>
        <w:t xml:space="preserve">RF-TER-11 · Acordado. </w:t>
      </w:r>
      <w:r>
        <w:t>RelacionesContactos permite N:M entre persona y organización, con rol y vigencia. Elegir un tercero exige búsqueda modal reutilizando el buscador de terceros, no un combo con toda la base. Las acciones se colocan junto al listado; añadir, retirar/cerrar vigencia y abrir ficha caben en una fila. El texto debe distinguir eliminar una relación aún no guardada de cerrar la vigencia de una histórica; no usar «Cerrar vigencia / retirar nueva» como única explicación.</w:t>
      </w:r>
    </w:p>
    <w:p>
      <w:pPr>
        <w:pStyle w:val="Heading2"/>
      </w:pPr>
      <w:r>
        <w:t>7.2 Perfiles notas y módulos embebidos</w:t>
      </w:r>
    </w:p>
    <w:p>
      <w:pPr>
        <w:widowControl/>
      </w:pPr>
      <w:r>
        <w:rPr>
          <w:b/>
        </w:rPr>
        <w:t xml:space="preserve">RF-TER-12 · Documentado. </w:t>
      </w:r>
      <w:r>
        <w:t>Perfiles es una clasificación global N:M, independiente de roles, ejercicio y permisos. Catálogo inactivo impide nuevas asignaciones pero conserva las existentes. Retirar/reasignar mantiene la identidad del vínculo y su historial. Repetir el estado actual no genera movimientos duplicados. Las asignaciones múltiples son atómicas.</w:t>
      </w:r>
    </w:p>
    <w:p>
      <w:pPr>
        <w:widowControl/>
      </w:pPr>
      <w:r>
        <w:rPr>
          <w:b/>
        </w:rPr>
        <w:t xml:space="preserve">RF-TER-13 · Documentado. </w:t>
      </w:r>
      <w:r>
        <w:t>La UI de perfiles permite filtrar listas, selección múltiple, doble clic, teclado y arrastre. La implementación publicada guarda cada movimiento inmediatamente, mientras identidad usa Guardar/Descartar. Esta semántica debe presentarse claramente y ratificarse si el nuevo diseño unifica el guardado de toda la ficha.</w:t>
      </w:r>
    </w:p>
    <w:p>
      <w:pPr>
        <w:widowControl/>
      </w:pPr>
      <w:r>
        <w:rPr>
          <w:b/>
        </w:rPr>
        <w:t xml:space="preserve">RF-TER-14 · Acordado. </w:t>
      </w:r>
      <w:r>
        <w:t>Notas y Notas internas son dos memos separados en pestaña antes de Historial. Notas internas requiere su capacidad específica; no exponerla en proyecciones no autorizadas. Historial permite revisar cambios por operador, instante y operación, sin confundirlo con edición manual de datos históricos.</w:t>
      </w:r>
    </w:p>
    <w:p>
      <w:pPr>
        <w:widowControl/>
      </w:pPr>
      <w:r>
        <w:rPr>
          <w:b/>
        </w:rPr>
        <w:t xml:space="preserve">RF-TER-15 · Acordado. </w:t>
      </w:r>
      <w:r>
        <w:t>Ventas: arriba programaciones del cliente y abajo facturas emitidas. Seleccionar programación filtra por vínculo de origen verificable; quitar selección restaura las del cliente. Compras, Mayor, Documentos y otros contenidos son componentes de sus módulos. Pueden permanecer como alojamientos vacíos explícitos hasta su integración; no presentar listas simuladas como reales.</w:t>
      </w:r>
    </w:p>
    <w:p>
      <w:pPr>
        <w:widowControl/>
      </w:pPr>
      <w:r>
        <w:rPr>
          <w:sz w:val="18"/>
        </w:rPr>
        <w:t>Aceptación: dos terceros con igual NIF permanecen distintos; añadir rol no duplica identidad; email único activo resuelve sin flags; dos activos ambiguos producen incidencia; contacto libre no crea tercero; relación usa modal; cuentas cambian con contexto; guardar no modifica una factura emitida.</w:t>
      </w:r>
    </w:p>
    <w:p>
      <w:pPr>
        <w:widowControl/>
      </w:pPr>
      <w:r>
        <w:rPr>
          <w:sz w:val="18"/>
        </w:rPr>
        <w:t>Fuentes: TERCEROS_CONTRATO.md, CONTRATO_FINAL_TERCEROS_VF_1.md, CONTACTOS_LIBRES_TERCEROS_20261001.md y requisitos del usuario. Algunas secciones antiguas de estos documentos describen estados anteriores al prototipo .10.</w:t>
      </w:r>
    </w:p>
    <w:p>
      <w:pPr>
        <w:pStyle w:val="Heading1"/>
      </w:pPr>
      <w:r>
        <w:t>8 Mantenimiento genérico de parámetros</w:t>
      </w:r>
    </w:p>
    <w:p>
      <w:pPr>
        <w:widowControl/>
      </w:pPr>
      <w:r>
        <w:rPr>
          <w:b/>
        </w:rPr>
        <w:t xml:space="preserve">RF-MAN-01 · Acordado. </w:t>
      </w:r>
      <w:r>
        <w:t>Pantalla única extensible para registros únicos y colecciones 1:N, agrupada por categorías con búsqueda. Un proveedor publica campos, tipos, ayuda, orden, opciones, cardinalidad, validación y capacidades de lectura/alta/modificación/baja.</w:t>
      </w:r>
    </w:p>
    <w:p>
      <w:pPr>
        <w:widowControl/>
      </w:pPr>
      <w:r>
        <w:rPr>
          <w:b/>
        </w:rPr>
        <w:t xml:space="preserve">RF-MAN-02 · Documentado. </w:t>
      </w:r>
      <w:r>
        <w:t>Editores de texto corto, memo, entero, decimal, booleano, fecha/hora y referencia; puntos de extensión para rutas, secretos y selectores especializados. Validar junto al campo, seguir cambios y ofrecer Guardar/Descartar. Referencias grandes usarán búsqueda adecuada, no combos masivos.</w:t>
      </w:r>
    </w:p>
    <w:p>
      <w:pPr>
        <w:widowControl/>
      </w:pPr>
      <w:r>
        <w:rPr>
          <w:b/>
        </w:rPr>
        <w:t xml:space="preserve">RF-MAN-03 · Acordado. </w:t>
      </w:r>
      <w:r>
        <w:t>La pantalla consume servicios tipados cuando existan invariantes o efectos: no debe permitir alterar un estado fiscal, una serie en uso, una contraseña o un cierre contable mediante CRUD genérico que eluda al propietario.</w:t>
      </w:r>
    </w:p>
    <w:p>
      <w:pPr>
        <w:widowControl/>
      </w:pPr>
      <w:r>
        <w:rPr>
          <w:b/>
        </w:rPr>
        <w:t xml:space="preserve">RF-MAN-04 · Documentado. </w:t>
      </w:r>
      <w:r>
        <w:t>Catálogo conocido: General, Correo, VeriFactu, Sociedades, Ejercicios, Series, Formas de pago, Tipos de IVA, Tipos de factura, Tipos de concepto y Estados de factura; ubicación local es un proveedor separado. No confundir esta lista de proveedores actuales con permiso para editar cualquier tabla de la maestra.</w:t>
      </w:r>
    </w:p>
    <w:p>
      <w:pPr>
        <w:widowControl/>
      </w:pPr>
      <w:r>
        <w:rPr>
          <w:b/>
        </w:rPr>
        <w:t xml:space="preserve">RF-MAN-05 · Pendiente. </w:t>
      </w:r>
      <w:r>
        <w:t>Confirmar ámbito de cada proveedor —global, sociedad o ejercicio— y aplicar permisos en servicio. Los metadatos PuedeLeer/Crear/Modificar/Eliminar no bastan como frontera de seguridad. El prototipo .10 tiene proveedores compartidos; no certifica aislamiento contextual completo.</w:t>
      </w:r>
    </w:p>
    <w:p>
      <w:pPr>
        <w:widowControl/>
      </w:pPr>
      <w:r>
        <w:t>Ejemplos de aceptación: ruta local sin escritura en Access; parámetro único con memo y booleano; catálogo simple con alta y baja restringida por uso; series 1:N filtradas por ejercicio; referencia dependiente de sociedad; registro fiscal solo mediante servicio; secreto enmascarado sin lectura/exportación accidental.</w:t>
      </w:r>
    </w:p>
    <w:p>
      <w:pPr>
        <w:widowControl/>
      </w:pPr>
      <w:r>
        <w:rPr>
          <w:sz w:val="18"/>
        </w:rPr>
        <w:t>Fuentes: WpfConfiguracion/CONTRATO_PUBLICO.md, DIFERENCIAS_MAQUETA_CONFIGURACION.md y maqueta de Configuración.</w:t>
      </w:r>
    </w:p>
    <w:p>
      <w:pPr>
        <w:pStyle w:val="Heading1"/>
      </w:pPr>
      <w:r>
        <w:t>9 Conceptos contratos y parámetros de facturación</w:t>
      </w:r>
    </w:p>
    <w:p>
      <w:pPr>
        <w:widowControl/>
      </w:pPr>
      <w:r>
        <w:rPr>
          <w:b/>
        </w:rPr>
        <w:t xml:space="preserve">RF-CAT-01 · Documentado. </w:t>
      </w:r>
      <w:r>
        <w:t>Conceptos es un catálogo facturable con búsqueda, tipos, actividad, nombre/descripcion, precios y tratamiento fiscal. Se utiliza para preparar líneas; cambiar el concepto no reescribe líneas históricas. El código actual permite crear, actualizar, duplicar, consultar uso y eliminar conforme a referencias. El alcance de existencias/almacén no está aprobado.</w:t>
      </w:r>
    </w:p>
    <w:p>
      <w:pPr>
        <w:widowControl/>
      </w:pPr>
      <w:r>
        <w:rPr>
          <w:b/>
        </w:rPr>
        <w:t xml:space="preserve">RF-CAT-02 · Pendiente. </w:t>
      </w:r>
      <w:r>
        <w:t>Ratificar ámbito global o por sociedad/ejercicio, tarifas, variantes, recargos y reglas exactas de baja. El servicio observado recibe sociedad/ejercicio, pero no sustituye un contrato funcional completo de catálogo.</w:t>
      </w:r>
    </w:p>
    <w:p>
      <w:pPr>
        <w:widowControl/>
      </w:pPr>
      <w:r>
        <w:rPr>
          <w:b/>
        </w:rPr>
        <w:t xml:space="preserve">RF-CON-01 · Documentado. </w:t>
      </w:r>
      <w:r>
        <w:t>Contratos pertenecen a la sociedad permanente, pueden relacionarse con cliente, inmueble y facturación programada, y deben conservar su continuidad entre ejercicios. El código histórico exige inmueble: esa restricción necesita ratificación para contratos de servicios generales y no debe generalizarse sin acuerdo.</w:t>
      </w:r>
    </w:p>
    <w:p>
      <w:pPr>
        <w:widowControl/>
      </w:pPr>
      <w:r>
        <w:rPr>
          <w:b/>
        </w:rPr>
        <w:t xml:space="preserve">RF-CON-02 · Documentado. </w:t>
      </w:r>
      <w:r>
        <w:t>Revisión manual de IPC/IRAV para contratos con programación activa cuyo próximo aniversario cae en 45 días. Consultar cada índice una vez por ejecución; rechazar valor cuyo mes diste más de dos meses naturales. Materializar valor utilizado en contrato. Efectividad el día 1 del mes de aniversario. Aviso y aplicación idempotentes por anualidad. Aplicar a todas las líneas activas al generar la primera factura del nuevo período en su transacción. Aislar incidencias por contrato.</w:t>
      </w:r>
    </w:p>
    <w:p>
      <w:pPr>
        <w:widowControl/>
      </w:pPr>
      <w:r>
        <w:rPr>
          <w:b/>
        </w:rPr>
        <w:t xml:space="preserve">RF-CON-03 · Pendiente. </w:t>
      </w:r>
      <w:r>
        <w:t>Fuente oficial, fórmula completa, redondeos, topes, excepciones y régimen contractual deben comprobarse antes de activar incrementos reales. El mecanismo anterior es decisión documentada del proyecto, no certificación jurídica de aplicabilidad a todos los contratos.</w:t>
      </w:r>
    </w:p>
    <w:p>
      <w:pPr>
        <w:widowControl/>
      </w:pPr>
      <w:r>
        <w:rPr>
          <w:sz w:val="18"/>
        </w:rPr>
        <w:t>Fuentes: DECISIONES.md, servicios de Conceptos/Contratos y manifiestos de Contratos de Actualizador.</w:t>
      </w:r>
    </w:p>
    <w:p>
      <w:pPr>
        <w:pStyle w:val="Heading1"/>
      </w:pPr>
      <w:r>
        <w:t>10 Facturas de venta y cálculo</w:t>
      </w:r>
    </w:p>
    <w:p>
      <w:pPr>
        <w:widowControl/>
      </w:pPr>
      <w:r>
        <w:rPr>
          <w:b/>
        </w:rPr>
        <w:t xml:space="preserve">RF-FAC-01 · Acordado. </w:t>
      </w:r>
      <w:r>
        <w:t>Crear factura manual en Borrador, sin número, incluso incompleta; antes de emitir se validan cliente, líneas, descripción general, serie, tipo, fechas y desgloses. La serie y número se asignan mediante servicio transaccional, nunca por la UI ni por Max+1 sin control concurrente.</w:t>
      </w:r>
    </w:p>
    <w:p>
      <w:pPr>
        <w:widowControl/>
      </w:pPr>
      <w:r>
        <w:rPr>
          <w:b/>
        </w:rPr>
        <w:t xml:space="preserve">RF-FAC-02 · Documentado. </w:t>
      </w:r>
      <w:r>
        <w:t>Base imponible de línea es el valor maestro. Se admite entrada inversa desde total preservando el importe de entrada según el contrato de cálculo. Usar Decimal; redondeo monetario a dos decimales AwayFromZero por línea, luego suma. Aplicar descuento porcentual y después descuento fijo. Conservar pruebas de importes límite del motor existente.</w:t>
      </w:r>
    </w:p>
    <w:p>
      <w:pPr>
        <w:widowControl/>
      </w:pPr>
      <w:r>
        <w:rPr>
          <w:b/>
        </w:rPr>
        <w:t xml:space="preserve">RF-FAC-03 · Documentado. </w:t>
      </w:r>
      <w:r>
        <w:t>Suplidos se añaden al total y quedan fuera de IVA y retención. Base total suma líneas no suplidas; cuota total incluye IVA y recargo de equivalencia conforme al modelo actual; bruto incorpora los componentes correspondientes; retención sobre base no suplida; total después de retención. Los totales calculados no son campos editables arbitrarios.</w:t>
      </w:r>
    </w:p>
    <w:p>
      <w:pPr>
        <w:widowControl/>
      </w:pPr>
      <w:r>
        <w:rPr>
          <w:b/>
        </w:rPr>
        <w:t xml:space="preserve">RF-FAC-04 · Documentado. </w:t>
      </w:r>
      <w:r>
        <w:t>Porcentajes entre 0 y 100; líneas identificadas y fiscalmente consistentes; exentas/no sujetas sin gravamen contradictorio; período inicio no posterior a fin; fecha de emisión no anterior a última numerada de la serie. Acumular errores útiles. Importe cero válido con advertencia IMPORTE_CERO y confirmación expresa.</w:t>
      </w:r>
    </w:p>
    <w:p>
      <w:pPr>
        <w:widowControl/>
      </w:pPr>
      <w:r>
        <w:rPr>
          <w:b/>
        </w:rPr>
        <w:t xml:space="preserve">RF-FAC-05 · Acordado. </w:t>
      </w:r>
      <w:r>
        <w:t>Emisor y destinatario se materializan como instantánea, incluidos identificadores y domicilio fiscal. Cambiar Terceros no altera factura emitida, PDF histórico ni rectificativa derivada de su instantánea.</w:t>
      </w:r>
    </w:p>
    <w:p>
      <w:pPr>
        <w:widowControl/>
      </w:pPr>
      <w:r>
        <w:rPr>
          <w:b/>
        </w:rPr>
        <w:t xml:space="preserve">RF-FAC-06 · Documentado. </w:t>
      </w:r>
      <w:r>
        <w:t>Estados de negocio: Borrador, PendienteValidar, Validada, RectificacionPendiente y Rectificada. Error técnico pertenece a intento/evidencia, no constituye sexto estado fiscal.</w:t>
      </w:r>
    </w:p>
    <w:p>
      <w:pPr>
        <w:widowControl/>
      </w:pPr>
      <w:r>
        <w:rPr>
          <w:b/>
        </w:rPr>
        <w:t xml:space="preserve">RF-FAC-07 · Acordado. </w:t>
      </w:r>
      <w:r>
        <w:t>Una emitida es fiscal y comercialmente inmutable: datos, importes, líneas, forma de pago y período no se corrigen como si fuera borrador. Sí admite operaciones autorizadas sobre notas internas, referencias contables, exportación, PDF e historial, preservando trazabilidad y sin tocar su contenido fiscal. El servicio correspondiente controla cada salida.</w:t>
      </w:r>
    </w:p>
    <w:p>
      <w:pPr>
        <w:widowControl/>
      </w:pPr>
      <w:r>
        <w:rPr>
          <w:b/>
        </w:rPr>
        <w:t xml:space="preserve">RF-FAC-08 · Documentado. </w:t>
      </w:r>
      <w:r>
        <w:t>Duplicar crea un borrador normal en ejercicio actual, con emisor/serie por contexto; resetea número, emisión, rectificación, referencias de asiento/lote/PDF/envíos y origen programado. Fecha de operación vacía; período conservado editable. No copia un estado fiscal válido.</w:t>
      </w:r>
    </w:p>
    <w:p>
      <w:pPr>
        <w:widowControl/>
      </w:pPr>
      <w:r>
        <w:rPr>
          <w:b/>
        </w:rPr>
        <w:t xml:space="preserve">RF-FAC-09 · Documentado. </w:t>
      </w:r>
      <w:r>
        <w:t>Rectificativa completa 1:1 en primer alcance. Serie rectificativa por sociedad. R4 por diferencias para genérica y R5 para simplificada según decisión histórica; invertir cantidades/importes manteniendo precios/tipos. Original pasa a RectificacionPendiente al crear borrador y a Rectificada al aceptar la rectificativa. Borrar borrador rectificativo restaura original a Validada atómicamente. No se usa anulación registral AEAT en esta versión inicial.</w:t>
      </w:r>
    </w:p>
    <w:p>
      <w:pPr>
        <w:widowControl/>
      </w:pPr>
      <w:r>
        <w:rPr>
          <w:b/>
        </w:rPr>
        <w:t xml:space="preserve">RF-FAC-10 · Documentado. </w:t>
      </w:r>
      <w:r>
        <w:t>Listado filtrable y ordenable con selección explícita, ficha/detalle, estados, períodos y acciones contextuales. Selección, fila activa y universo filtrado no son equivalentes. Proforma se identifica como tal y no emite ni consume numeración fiscal. Los contadores y gráficos deben corresponder al ámbito indicado.</w:t>
      </w:r>
    </w:p>
    <w:p>
      <w:pPr>
        <w:widowControl/>
      </w:pPr>
      <w:r>
        <w:rPr>
          <w:sz w:val="18"/>
        </w:rPr>
        <w:t>Aceptación: redondeos y descuentos reproducibles; emitir simultáneamente no repite número; guardar borrador no numera; cero advierte; editar tercero no altera emitida; duplicar no conserva número; fallo en rectificación revierte ambos cambios; cada acción valida estado en servicio y persistencia.</w:t>
      </w:r>
    </w:p>
    <w:p>
      <w:pPr>
        <w:widowControl/>
      </w:pPr>
      <w:r>
        <w:rPr>
          <w:sz w:val="18"/>
        </w:rPr>
        <w:t>Fuentes: MODELO_FACTURA.md, DECISIONES.md y WPF_FACTURAS.md. Los casos matemáticos exhaustivos se preservan mediante las pruebas recomendadas en los anexos.</w:t>
      </w:r>
    </w:p>
    <w:p>
      <w:pPr>
        <w:pStyle w:val="Heading1"/>
      </w:pPr>
      <w:r>
        <w:t>11 VeriFactu y recuperación fiscal</w:t>
      </w:r>
    </w:p>
    <w:p>
      <w:pPr>
        <w:widowControl/>
      </w:pPr>
      <w:r>
        <w:rPr>
          <w:b/>
        </w:rPr>
        <w:t xml:space="preserve">RF-VF-01 · Acordado. </w:t>
      </w:r>
      <w:r>
        <w:t>Integración .NET nativa detrás de interfaz de ProConta, sin COM. Configurar productor/instalación, entorno y certificados de forma explícita; no transportar claves privadas con la especificación. Las pruebas normales sustituyen red y no emiten realmente.</w:t>
      </w:r>
    </w:p>
    <w:p>
      <w:pPr>
        <w:widowControl/>
      </w:pPr>
      <w:r>
        <w:rPr>
          <w:b/>
        </w:rPr>
        <w:t xml:space="preserve">RF-VF-02 · Documentado. </w:t>
      </w:r>
      <w:r>
        <w:t>Traducir líneas agrupadas por impuesto, régimen, calificación, exención, IVA y recargo; excluir suplidos. Validar claves antes de enviar. Mantener identificadores, huella, encadenamiento, instantes y respuesta técnica asociados a la factura/intento.</w:t>
      </w:r>
    </w:p>
    <w:p>
      <w:pPr>
        <w:widowControl/>
      </w:pPr>
      <w:r>
        <w:rPr>
          <w:b/>
        </w:rPr>
        <w:t xml:space="preserve">RF-VF-03 · Documentado. </w:t>
      </w:r>
      <w:r>
        <w:t>Distinguir aceptación, duplicado aceptable, rechazo, fallo previo al envío y comunicación dudosa. Reintentar una incertidumbre con el mismo objeto fiscal y cadena mediante la operación prevista; no fabricar otra factura o hash. Duplicado solo acredita éxito si el estado previo es correcto/aceptado con errores, no anulado o desconocido.</w:t>
      </w:r>
    </w:p>
    <w:p>
      <w:pPr>
        <w:widowControl/>
      </w:pPr>
      <w:r>
        <w:rPr>
          <w:b/>
        </w:rPr>
        <w:t xml:space="preserve">RF-VF-04 · Documentado. </w:t>
      </w:r>
      <w:r>
        <w:t>Antes de devolver PendienteValidar a Borrador consultar registros propios por NIF emisor, número y fecha. Si confirmada, consolidar Validada y ofrecer rectificar. Si consulta incierta, mantener pendiente. Si rechazada expresamente, permitir corrección con motivo. Ausencia solo permite retorno tras al menos cinco minutos del último intento, conforme a la regla histórica a revalidar con el adaptador vigente.</w:t>
      </w:r>
    </w:p>
    <w:p>
      <w:pPr>
        <w:widowControl/>
      </w:pPr>
      <w:r>
        <w:rPr>
          <w:b/>
        </w:rPr>
        <w:t xml:space="preserve">RF-VF-05 · Acordado. </w:t>
      </w:r>
      <w:r>
        <w:t>Generar PDF/QR después del hito fiscal correspondiente. Factura validada sin PDF o PDF sin correo son estados recuperables distintos; un fallo documental o SMTP no revierte aceptación ni provoca reemisión. El historial debe mostrar cada fase y su evidencia.</w:t>
      </w:r>
    </w:p>
    <w:p>
      <w:pPr>
        <w:widowControl/>
      </w:pPr>
      <w:r>
        <w:rPr>
          <w:sz w:val="18"/>
        </w:rPr>
        <w:t>Aceptación: pérdida de respuesta no duplica emisión; consulta fallida no desbloquea edición; rechazo explícito informa corrección; recuperación PDF no cambia número ni cadena; entorno de pruebas no puede confundirse con producción.</w:t>
      </w:r>
    </w:p>
    <w:p>
      <w:pPr>
        <w:widowControl/>
      </w:pPr>
      <w:r>
        <w:rPr>
          <w:sz w:val="18"/>
        </w:rPr>
        <w:t>Fuentes: DECISIONES.md, MODELO_FACTURA.md, adaptación VeriFactu y evidencias de pruebas; validar normativa y biblioteca antes de producción.</w:t>
      </w:r>
    </w:p>
    <w:p>
      <w:pPr>
        <w:pStyle w:val="Heading1"/>
      </w:pPr>
      <w:r>
        <w:t>12 Facturación programada y lotes</w:t>
      </w:r>
    </w:p>
    <w:p>
      <w:pPr>
        <w:widowControl/>
      </w:pPr>
      <w:r>
        <w:rPr>
          <w:b/>
        </w:rPr>
        <w:t xml:space="preserve">RF-PRO-01 · Documentado. </w:t>
      </w:r>
      <w:r>
        <w:t>Programaciones editables con cliente, contrato opcional, líneas, actividad, fechas de período, próxima emisión y preferencias de validación/envío. Diferenciar período facturado y fecha que habilita generación. Cadencias de 1, 2, 3, 4, 6 y 12 meses.</w:t>
      </w:r>
    </w:p>
    <w:p>
      <w:pPr>
        <w:widowControl/>
      </w:pPr>
      <w:r>
        <w:rPr>
          <w:b/>
        </w:rPr>
        <w:t xml:space="preserve">RF-PRO-02 · Documentado. </w:t>
      </w:r>
      <w:r>
        <w:t>Ancla de día 1 a 28 fija; días 29 a 31 representan posición relativa al fin de mes. Ejemplos no bisiestos: 31 enero → 28 febrero → 31 marzo; 29 enero → 26 febrero → 29 marzo. Probar bisiestos y saltos de varios meses.</w:t>
      </w:r>
    </w:p>
    <w:p>
      <w:pPr>
        <w:widowControl/>
      </w:pPr>
      <w:r>
        <w:rPr>
          <w:b/>
        </w:rPr>
        <w:t xml:space="preserve">RF-PRO-03 · Documentado. </w:t>
      </w:r>
      <w:r>
        <w:t>Selección de una sociedad por lote; cada programación se procesa aisladamente. Crear factura y avanzar período/próxima fecha en una transacción, preservando IdFacturaProgramada, lote y fecha origen. El proceso histórico de generación reserva número y crea PendienteValidar; no debe confundirse con el alta manual de borrador sin número.</w:t>
      </w:r>
    </w:p>
    <w:p>
      <w:pPr>
        <w:widowControl/>
      </w:pPr>
      <w:r>
        <w:rPr>
          <w:b/>
        </w:rPr>
        <w:t xml:space="preserve">RF-PRO-04 · Acordado. </w:t>
      </w:r>
      <w:r>
        <w:t>Una programación/período no produce facturas duplicadas ante concurrencia o reintento. Si falla un elemento se registra incidencia y continúa el resto. Si hay validación automática, aceptación precede PDF y envío. Facturas aún no procesadas se pueden seleccionar después sin regenerar las terminadas.</w:t>
      </w:r>
    </w:p>
    <w:p>
      <w:pPr>
        <w:widowControl/>
      </w:pPr>
      <w:r>
        <w:rPr>
          <w:b/>
        </w:rPr>
        <w:t xml:space="preserve">RF-PRO-05 · Acordado. </w:t>
      </w:r>
      <w:r>
        <w:t>Enviar automáticamente solo según preferencia de programación; envío manual es petición expresa. Más de un email utiliza lote y seguimiento, nunca secuencia de ventanas de edición. Fallo de aviso de incidencias no genera avisos recursivos.</w:t>
      </w:r>
    </w:p>
    <w:p>
      <w:pPr>
        <w:widowControl/>
      </w:pPr>
      <w:r>
        <w:rPr>
          <w:b/>
        </w:rPr>
        <w:t xml:space="preserve">RF-PRO-06 · Documentado. </w:t>
      </w:r>
      <w:r>
        <w:t>Duplicar programación conserva contenido y preferencias editables pero queda inactiva y sin historial de generación. No hereda una ejecución en curso ni la factura ya emitida.</w:t>
      </w:r>
    </w:p>
    <w:p>
      <w:pPr>
        <w:widowControl/>
      </w:pPr>
      <w:r>
        <w:rPr>
          <w:sz w:val="18"/>
        </w:rPr>
        <w:t>Aceptación: fechas ancladas correctas; dos ejecutores no duplican período; un fallo no bloquea lote; retry PDF/correo no avanza de nuevo calendario; duplicado inactivo.</w:t>
      </w:r>
    </w:p>
    <w:p>
      <w:pPr>
        <w:widowControl/>
      </w:pPr>
      <w:r>
        <w:rPr>
          <w:sz w:val="18"/>
        </w:rPr>
        <w:t>Fuentes: DECISIONES.md y contratos de generación/programaciones.</w:t>
      </w:r>
    </w:p>
    <w:p>
      <w:pPr>
        <w:pStyle w:val="Heading1"/>
      </w:pPr>
      <w:r>
        <w:t>13 Reservas de alojamiento</w:t>
      </w:r>
    </w:p>
    <w:p>
      <w:pPr>
        <w:widowControl/>
      </w:pPr>
      <w:r>
        <w:rPr>
          <w:b/>
        </w:rPr>
        <w:t xml:space="preserve">RF-RES-01 · Documentado. </w:t>
      </w:r>
      <w:r>
        <w:t>Preparar facturación a partir de reservas conservando importe neto acordado, bruto, comisiones y limpieza como datos de conciliación. No sumar otra vez comisiones o limpieza al neto facturable. Inmueble se resuelve mediante identidad de Activos y mapa explícito, no coincidencia aproximada de nombres.</w:t>
      </w:r>
    </w:p>
    <w:p>
      <w:pPr>
        <w:widowControl/>
      </w:pPr>
      <w:r>
        <w:rPr>
          <w:b/>
        </w:rPr>
        <w:t xml:space="preserve">RF-RES-02 · Documentado. </w:t>
      </w:r>
      <w:r>
        <w:t>Generación de borrador y vínculos por sociedad, canal, activo y mes de forma atómica/idempotente. Identidad de fila de origen incluye importación y posición; código de reserva por sí solo no asegura unicidad. Preservar valores de pago originales, no convertir importes en booleanos ni inventar cobros.</w:t>
      </w:r>
    </w:p>
    <w:p>
      <w:pPr>
        <w:widowControl/>
      </w:pPr>
      <w:r>
        <w:rPr>
          <w:b/>
        </w:rPr>
        <w:t xml:space="preserve">RF-RES-03 · Pendiente. </w:t>
      </w:r>
      <w:r>
        <w:t>Confirmar destinatario plataforma/huésped, atribución mensual, estancias entre meses, cancelaciones, divisas, serie, fecha y datos personales que se muestran. El contrato histórico propone E1/régimen 01/impuesto 01 para supuesto sin servicios hoteleros; no generalizar ese tratamiento ni activarlo sin validación del supuesto y normativa aplicable.</w:t>
      </w:r>
    </w:p>
    <w:p>
      <w:pPr>
        <w:widowControl/>
      </w:pPr>
      <w:r>
        <w:rPr>
          <w:sz w:val="18"/>
        </w:rPr>
        <w:t>Aceptación: mismo lote no duplica borradores; datos de reserva conciliables con neto emitido; una factura emitida nunca cambia por reimportación. Mantener generación automática bloqueada donde falten decisiones.</w:t>
      </w:r>
    </w:p>
    <w:p>
      <w:pPr>
        <w:widowControl/>
      </w:pPr>
      <w:r>
        <w:rPr>
          <w:sz w:val="18"/>
        </w:rPr>
        <w:t>Fuente: RESERVAS_ALOJAMIENTO_CONTRATO.md.</w:t>
      </w:r>
    </w:p>
    <w:p>
      <w:pPr>
        <w:pStyle w:val="Heading1"/>
      </w:pPr>
      <w:r>
        <w:t>14 Compras y reconocimiento de facturas</w:t>
      </w:r>
    </w:p>
    <w:p>
      <w:pPr>
        <w:widowControl/>
      </w:pPr>
      <w:r>
        <w:rPr>
          <w:b/>
        </w:rPr>
        <w:t xml:space="preserve">RF-COM-01 · Documentado. </w:t>
      </w:r>
      <w:r>
        <w:t>Dos operaciones: reconocer sin escrituras y procesar con comprobación de duplicado e inserción. El motor entrega factura de compra, desgloses, confianza por campo, advertencias, fuentes y log; no envía correo ni genera asientos por su cuenta.</w:t>
      </w:r>
    </w:p>
    <w:p>
      <w:pPr>
        <w:widowControl/>
      </w:pPr>
      <w:r>
        <w:rPr>
          <w:b/>
        </w:rPr>
        <w:t xml:space="preserve">RF-COM-02 · Documentado. </w:t>
      </w:r>
      <w:r>
        <w:t>Extraer texto/posición de PDF nativo; usar OCR como rescate o segunda fuente en escaneados y casos deficientes. No elegir siempre el número mayor como total. Etiquetas y reconciliación aritmética prevalecen sobre heurísticas históricas. Un campo desconocido se deja sin resolver y requiere revisión.</w:t>
      </w:r>
    </w:p>
    <w:p>
      <w:pPr>
        <w:widowControl/>
      </w:pPr>
      <w:r>
        <w:rPr>
          <w:b/>
        </w:rPr>
        <w:t xml:space="preserve">RF-COM-03 · Documentado. </w:t>
      </w:r>
      <w:r>
        <w:t>Identificar proveedor excluyendo el NIF propio, validar NIF y variante ES, preservar leído y asignado, contrastar catálogo y nombre obtenido de AEAT cuando proceda. NIF ambiguo no fusiona terceros. Número se normaliza conservando evidencia; fecha factura prima sobre vencimiento. Histórico puede reforzar, nunca obligar a repetir un error previo.</w:t>
      </w:r>
    </w:p>
    <w:p>
      <w:pPr>
        <w:widowControl/>
      </w:pPr>
      <w:r>
        <w:rPr>
          <w:b/>
        </w:rPr>
        <w:t xml:space="preserve">RF-COM-04 · Documentado. </w:t>
      </w:r>
      <w:r>
        <w:t>Reconocer formatos monetarios europeos/anglosajones, negativos, múltiples tipos IVA, cuota cero, exención, inversión del sujeto pasivo y retención. Divisas conservan original, cambio y fecha, con búsqueda retrospectiva permitida por contrato. No atribuir automáticamente IVA a una diferencia aritmética sin evidencia.</w:t>
      </w:r>
    </w:p>
    <w:p>
      <w:pPr>
        <w:widowControl/>
      </w:pPr>
      <w:r>
        <w:rPr>
          <w:b/>
        </w:rPr>
        <w:t xml:space="preserve">RF-COM-05 · Documentado. </w:t>
      </w:r>
      <w:r>
        <w:t>Mantener MD5 compatible del PDF para duplicados del sistema actual, sin confundirlo con huella de integridad documental. Comprobar e insertar cabecera/desgloses atómicamente. Configuración por sociedad permanente y destino por sociedad/ejercicio; no intercambiar sus claves.</w:t>
      </w:r>
    </w:p>
    <w:p>
      <w:pPr>
        <w:widowControl/>
      </w:pPr>
      <w:r>
        <w:rPr>
          <w:b/>
        </w:rPr>
        <w:t xml:space="preserve">RF-COM-06 · Documentado. </w:t>
      </w:r>
      <w:r>
        <w:t>Confianza individual y global, candidatos y motivos visibles. Pantalla de pruebas no destructiva. Regresión con corpus curado 2025/2026 y salida TXT tabulada con resultado esperado/reconocido de importes, NIF, fecha y número; errores conocidos de la BD se anotan como excepciones, no se reproducen por diseño.</w:t>
      </w:r>
    </w:p>
    <w:p>
      <w:pPr>
        <w:widowControl/>
      </w:pPr>
      <w:r>
        <w:rPr>
          <w:b/>
        </w:rPr>
        <w:t xml:space="preserve">RF-COM-07 · Pendiente. </w:t>
      </w:r>
      <w:r>
        <w:t>La pantalla final de revisión, contabilización de compra y aprendizaje por correcciones tienen contratos propios todavía incompletos. Las reglas particulares VIES, umbrales, familias documentales y selección de primera factura en un PDF múltiple se conservan en el anexo de reconocimiento; no suponer soporte de partición automática de todas sus facturas.</w:t>
      </w:r>
    </w:p>
    <w:p>
      <w:pPr>
        <w:widowControl/>
      </w:pPr>
      <w:r>
        <w:rPr>
          <w:sz w:val="18"/>
        </w:rPr>
        <w:t>Aceptación: escaneado solicita OCR; varias cuotas cuadran con cabecera; discrepancia solicita revisión; PDF duplicado no crea segunda compra; corte durante persistencia no deja desgloses huérfanos; log explica cada decisión.</w:t>
      </w:r>
    </w:p>
    <w:p>
      <w:pPr>
        <w:widowControl/>
      </w:pPr>
      <w:r>
        <w:rPr>
          <w:sz w:val="18"/>
        </w:rPr>
        <w:t>Fuente de detalle obligatoria: ESPECIFICACION_REESCRITURA_RECONOCIMIENTO_FACTURAS_COMPRA.md, incluida íntegra. Su mención de WinForms queda superada para nuevas vistas WPF; sus propuestas físicas no sustituyen la maestra adjunta.</w:t>
      </w:r>
    </w:p>
    <w:p>
      <w:pPr>
        <w:pStyle w:val="Heading1"/>
      </w:pPr>
      <w:r>
        <w:t>15 Cuentas centros asientos mayor y balances</w:t>
      </w:r>
    </w:p>
    <w:p>
      <w:pPr>
        <w:widowControl/>
      </w:pPr>
      <w:r>
        <w:rPr>
          <w:b/>
        </w:rPr>
        <w:t xml:space="preserve">RF-CUE-01 · Documentado. </w:t>
      </w:r>
      <w:r>
        <w:t>Diferenciar identidad contable permanente de cuenta por ejercicio. Código/nombre, jerarquía/tipo, actividad, bloqueo e imputabilidad forman el catálogo. Resolver por ejercicio y código exacto; una cuenta inexistente, inactiva, bloqueada o no imputable no recibe nuevos apuntes.</w:t>
      </w:r>
    </w:p>
    <w:p>
      <w:pPr>
        <w:widowControl/>
      </w:pPr>
      <w:r>
        <w:rPr>
          <w:b/>
        </w:rPr>
        <w:t xml:space="preserve">RF-CUE-02 · Documentado. </w:t>
      </w:r>
      <w:r>
        <w:t>Alta, recodificación, sustitución y fusión conservan trazabilidad e identidad; no reescriben histórico como si siempre hubiera sido otra cuenta. Reserva histórica de códigos y concurrencia deben evitar reutilizaciones incorrectas. Copia entre ejercicios de una misma sociedad y aplicación de plan crean ausentes respetando correspondencias.</w:t>
      </w:r>
    </w:p>
    <w:p>
      <w:pPr>
        <w:widowControl/>
      </w:pPr>
      <w:r>
        <w:rPr>
          <w:b/>
        </w:rPr>
        <w:t xml:space="preserve">RF-CUE-03 · Documentado. </w:t>
      </w:r>
      <w:r>
        <w:t>Revisiones de cuenta a fecha de corte conservan estado, comentarios y actor. Saldos/contadores son cachés reconstruibles desde apuntes. Centros de coste admiten jerarquía y contexto; preservar referencias analíticas de los importadores.</w:t>
      </w:r>
    </w:p>
    <w:p>
      <w:pPr>
        <w:widowControl/>
      </w:pPr>
      <w:r>
        <w:rPr>
          <w:b/>
        </w:rPr>
        <w:t xml:space="preserve">RF-ASI-01 · Documentado. </w:t>
      </w:r>
      <w:r>
        <w:t>Un asiento contiene cabecera y todos sus apuntes; se valida y guarda como agregado atómico con revisión auditada. Operador obligatorio y motivo para modificación. Una propuesta con varios asientos se confirma completa o no se confirma.</w:t>
      </w:r>
    </w:p>
    <w:p>
      <w:pPr>
        <w:widowControl/>
      </w:pPr>
      <w:r>
        <w:rPr>
          <w:b/>
        </w:rPr>
        <w:t xml:space="preserve">RF-ASI-02 · Documentado. </w:t>
      </w:r>
      <w:r>
        <w:t>Debe y Haber deben cuadrar conforme a política explícita. Ajustes por redondeo requieren tolerancia, cuenta y origen configurados, resultado visible y auditoría; no generar una cuenta puente o un ajuste arbitrario para que cualquier importación parezca válida.</w:t>
      </w:r>
    </w:p>
    <w:p>
      <w:pPr>
        <w:widowControl/>
      </w:pPr>
      <w:r>
        <w:rPr>
          <w:b/>
        </w:rPr>
        <w:t xml:space="preserve">RF-ASI-03 · Acordado. </w:t>
      </w:r>
      <w:r>
        <w:t>Los asientos automáticos se modifican/regeneran mediante la operación del lote propietario; la vía manual no los altera. Ejercicio cerrado y períodos protegidos se controlan también en persistencia, no solo en la pantalla.</w:t>
      </w:r>
    </w:p>
    <w:p>
      <w:pPr>
        <w:widowControl/>
      </w:pPr>
      <w:r>
        <w:rPr>
          <w:b/>
        </w:rPr>
        <w:t xml:space="preserve">RF-MAY-01 · Acordado. </w:t>
      </w:r>
      <w:r>
        <w:t>Mayor reutilizable desde Contabilidad y Terceros. El dominio contable resuelve cuentas por contexto y calcula apertura, movimientos y saldo; Terceros no deduce un mayor de sus facturas. Consulta, filtros, navegación al asiento e impresión deben compartir servicios.</w:t>
      </w:r>
    </w:p>
    <w:p>
      <w:pPr>
        <w:widowControl/>
      </w:pPr>
      <w:r>
        <w:rPr>
          <w:b/>
        </w:rPr>
        <w:t xml:space="preserve">RF-BAL-01 · Documentado. </w:t>
      </w:r>
      <w:r>
        <w:t>Balances consumen apuntes y clasificación contable del contexto, con trazabilidad al origen y presentación por Reporting. La definición exhaustiva de balance de sumas/saldos, situación, pérdidas/ganancias y comparativos debe cerrarse con contratos y ejemplos esperados; no se declara completa por existir un servicio Balance.</w:t>
      </w:r>
    </w:p>
    <w:p>
      <w:pPr>
        <w:widowControl/>
      </w:pPr>
      <w:r>
        <w:rPr>
          <w:sz w:val="18"/>
        </w:rPr>
        <w:t>Aceptación: código igual en ejercicios distintos no mezcla cuentas; caché reconstruida coincide con apuntes; asiento desequilibrado no persiste parcialmente; automático rechaza edición manual; mayor embebido coincide con el completo bajo iguales filtros; cambio de ejercicio recarga y no combina saldos.</w:t>
      </w:r>
    </w:p>
    <w:p>
      <w:pPr>
        <w:widowControl/>
      </w:pPr>
      <w:r>
        <w:rPr>
          <w:sz w:val="18"/>
        </w:rPr>
        <w:t>Fuentes: contratos y servicios de Asientos/Cuentas; modelo contable ContaSol; GESTOR_CONTABLE.md. Se adjuntan extractos de contratos de código como evidencia, no una base de implementación obligatoria.</w:t>
      </w:r>
    </w:p>
    <w:p>
      <w:pPr>
        <w:pStyle w:val="Heading1"/>
      </w:pPr>
      <w:r>
        <w:t>16 Procesos contables y modelos tributarios</w:t>
      </w:r>
    </w:p>
    <w:p>
      <w:pPr>
        <w:widowControl/>
      </w:pPr>
      <w:r>
        <w:rPr>
          <w:b/>
        </w:rPr>
        <w:t xml:space="preserve">RF-GES-01 · Documentado. </w:t>
      </w:r>
      <w:r>
        <w:t>Procesos identificados: IVA.LIQUIDAR, IVA.REGULARIZAR_PRORRATA, IS.REGISTRAR, EJERCICIO.CERRAR y EJERCICIO.REABRIR. Cada ejecución revalida permisos, contexto, cuentas y período.</w:t>
      </w:r>
    </w:p>
    <w:p>
      <w:pPr>
        <w:widowControl/>
      </w:pPr>
      <w:r>
        <w:rPr>
          <w:b/>
        </w:rPr>
        <w:t xml:space="preserve">RF-GES-02 · Documentado. </w:t>
      </w:r>
      <w:r>
        <w:t>Preparar una propuesta y mostrarla mediante editor/visor común de asientos, modal y con pestañas si hay varios. Confirmar exactamente la propuesta revisada, no recalcular silenciosamente otra. Cancelar no escribe. Lotes estables por proceso/período y regeneración solo de los propios; excluirlos del cálculo fuente para no acumularse a sí mismos.</w:t>
      </w:r>
    </w:p>
    <w:p>
      <w:pPr>
        <w:widowControl/>
      </w:pPr>
      <w:r>
        <w:rPr>
          <w:b/>
        </w:rPr>
        <w:t xml:space="preserve">RF-GES-03 · Documentado. </w:t>
      </w:r>
      <w:r>
        <w:t>IVA por sociedad, ejercicio y centro: tratamiento 0 deducible, 1 prorrata provisional anual, 2 no deducible; sin asignación, 100 % según contrato actual. Prorrata definitiva a partir de ingresos elegibles/totales, redondeada al entero superior y confirmada por operador. No sobrescribir provisional. Regularización plurianual de bienes de inversión queda fuera de la primera cobertura.</w:t>
      </w:r>
    </w:p>
    <w:p>
      <w:pPr>
        <w:widowControl/>
      </w:pPr>
      <w:r>
        <w:rPr>
          <w:b/>
        </w:rPr>
        <w:t xml:space="preserve">RF-GES-04 · Documentado. </w:t>
      </w:r>
      <w:r>
        <w:t>Impuesto sobre Sociedades prepara propuesta desde cuentas 6/7 según tipo anual, con importe final confirmado. No equivale a cálculo fiscal completo del modelo 200.</w:t>
      </w:r>
    </w:p>
    <w:p>
      <w:pPr>
        <w:widowControl/>
      </w:pPr>
      <w:r>
        <w:rPr>
          <w:b/>
        </w:rPr>
        <w:t xml:space="preserve">RF-GES-05 · Documentado. </w:t>
      </w:r>
      <w:r>
        <w:t>Cerrar crea regularización, cierre y apertura siguiente y marca cerrado en operación atómica del dominio. Reabrir elimina/revierte solo esos lotes propios y desmarca, conservando otros asientos. Ejercicio siguiente y cuentas compatibles son precondición. Confirmar semántica exacta de reversión y períodos presentados antes de producción.</w:t>
      </w:r>
    </w:p>
    <w:p>
      <w:pPr>
        <w:widowControl/>
      </w:pPr>
      <w:r>
        <w:rPr>
          <w:b/>
        </w:rPr>
        <w:t xml:space="preserve">RF-MOD-01 · Documentado. </w:t>
      </w:r>
      <w:r>
        <w:t>Separar cálculo trazable, borrador de informe y presentación AEAT. 303/390 tienen cobertura parcial de régimen general. 111, 115, 123, 202, 190, 180, 193, 347 y 200 no se consideran completos por disponer de balance o plantilla. Faltan datos específicos de perceptores, pagos y reglas de cada modelo.</w:t>
      </w:r>
    </w:p>
    <w:p>
      <w:pPr>
        <w:widowControl/>
      </w:pPr>
      <w:r>
        <w:rPr>
          <w:b/>
        </w:rPr>
        <w:t xml:space="preserve">RF-MOD-02 · Documentado. </w:t>
      </w:r>
      <w:r>
        <w:t>Plantilla versionada por año. Ausencia o incompatibilidad no usa automáticamente otro año. Mostrar BORRADOR NO PRESENTADO. EsCompleto exige conciliación; EsExportableAeat solo cuando exista exportador validado. Certificados, Cl@ve, NRC y presentación real quedan fuera de la capacidad acreditada.</w:t>
      </w:r>
    </w:p>
    <w:p>
      <w:pPr>
        <w:widowControl/>
      </w:pPr>
      <w:r>
        <w:rPr>
          <w:sz w:val="18"/>
        </w:rPr>
        <w:t>Aceptación: ejecutar dos veces no duplica lote; cancelar vista previa deja BD intacta; reabrir conserva asientos ajenos; cierre concurrente falla de forma controlada; un modelo incompleto no ofrece presentación válida; cifra enlaza a su origen.</w:t>
      </w:r>
    </w:p>
    <w:p>
      <w:pPr>
        <w:widowControl/>
      </w:pPr>
      <w:r>
        <w:rPr>
          <w:sz w:val="18"/>
        </w:rPr>
        <w:t>Fuentes: GESTOR_CONTABLE.md y MODELOS_CONTABLES.md.</w:t>
      </w:r>
    </w:p>
    <w:p>
      <w:pPr>
        <w:pStyle w:val="Heading1"/>
      </w:pPr>
      <w:r>
        <w:t>17 Asistente contable</w:t>
      </w:r>
    </w:p>
    <w:p>
      <w:pPr>
        <w:widowControl/>
      </w:pPr>
      <w:r>
        <w:rPr>
          <w:b/>
        </w:rPr>
        <w:t xml:space="preserve">RF-IA-01 · Documentado. </w:t>
      </w:r>
      <w:r>
        <w:t>Se han observado conversaciones por sociedad y herramientas de consulta de subcuentas imputables reales por ejercicio. La propuesta de asiento se revisa antes de pasar al motor contable común. No crear cuentas por imaginación del modelo ni convertir texto de conversación en escritura directa.</w:t>
      </w:r>
    </w:p>
    <w:p>
      <w:pPr>
        <w:widowControl/>
      </w:pPr>
      <w:r>
        <w:rPr>
          <w:b/>
        </w:rPr>
        <w:t xml:space="preserve">RF-IA-02 · Propuesto. </w:t>
      </w:r>
      <w:r>
        <w:t>Respuesta estructurada con importes, cuentas, justificación, incertidumbres y referencias; validación determinista de cuentas, contexto y cuadre antes de confirmación. Los documentos de entrada son datos, no instrucciones para cambiar permisos o ejecutar operaciones.</w:t>
      </w:r>
    </w:p>
    <w:p>
      <w:pPr>
        <w:widowControl/>
      </w:pPr>
      <w:r>
        <w:rPr>
          <w:b/>
        </w:rPr>
        <w:t xml:space="preserve">RF-IA-03 · Pendiente. </w:t>
      </w:r>
      <w:r>
        <w:t>Publicar contrato funcional completo: proveedor/modelo, coste, contenido enviado, conservación de conversación, autorizaciones, herramientas admitidas, comportamiento sin red y límites de acciones. La existencia de un prototipo no ratifica esas políticas.</w:t>
      </w:r>
    </w:p>
    <w:p>
      <w:pPr>
        <w:widowControl/>
      </w:pPr>
      <w:r>
        <w:rPr>
          <w:sz w:val="18"/>
        </w:rPr>
        <w:t>Aceptación propuesta: consulta de otra sociedad rechazada; cuenta inexistente no se guarda; propuesta cancelada no escribe; salida malformada pide corrección y no genera asiento.</w:t>
      </w:r>
    </w:p>
    <w:p>
      <w:pPr>
        <w:widowControl/>
      </w:pPr>
      <w:r>
        <w:rPr>
          <w:sz w:val="18"/>
        </w:rPr>
        <w:t>Fuente: contratos de conversaciones y propuestas de ProConta.AsistenteAsientos. Cobertura documental inferior a Facturación o Terceros; mantenerlo visible como área por completar.</w:t>
      </w:r>
    </w:p>
    <w:p>
      <w:pPr>
        <w:pStyle w:val="Heading1"/>
      </w:pPr>
      <w:r>
        <w:t>18 Nóminas</w:t>
      </w:r>
    </w:p>
    <w:p>
      <w:pPr>
        <w:widowControl/>
      </w:pPr>
      <w:r>
        <w:rPr>
          <w:b/>
        </w:rPr>
        <w:t xml:space="preserve">RF-NOM-01 · Documentado. </w:t>
      </w:r>
      <w:r>
        <w:t>Importar Excel detectando hoja/cabecera, metadatos y filas; mapear columnas a campos y recordar alias por sociedad. Resolver empleado con datos/candidatos y selección o alta manual cuando haya ambigüedad. No equiparar automáticamente empleado, operador y tercero.</w:t>
      </w:r>
    </w:p>
    <w:p>
      <w:pPr>
        <w:widowControl/>
      </w:pPr>
      <w:r>
        <w:rPr>
          <w:b/>
        </w:rPr>
        <w:t xml:space="preserve">RF-NOM-02 · Documentado. </w:t>
      </w:r>
      <w:r>
        <w:t>Idempotencia de contenido SHA-256 por contexto. Confirmar lote, nóminas y mapeos atómicamente. Conservar fecha de pago, tipo de paga, valores, empleado, departamento y origen necesarios para la plantilla.</w:t>
      </w:r>
    </w:p>
    <w:p>
      <w:pPr>
        <w:widowControl/>
      </w:pPr>
      <w:r>
        <w:rPr>
          <w:b/>
        </w:rPr>
        <w:t xml:space="preserve">RF-NOM-03 · Documentado. </w:t>
      </w:r>
      <w:r>
        <w:t>Plantillas producen asientos mediante cuentas válidas del ejercicio. Contabilización confirma asientos, revisiones, vínculos y estados en una transacción; cualquier plantilla/cuenta/cuadre inválido revierte todo el conjunto.</w:t>
      </w:r>
    </w:p>
    <w:p>
      <w:pPr>
        <w:widowControl/>
      </w:pPr>
      <w:r>
        <w:rPr>
          <w:b/>
        </w:rPr>
        <w:t xml:space="preserve">RF-NOM-04 · Documentado. </w:t>
      </w:r>
      <w:r>
        <w:t>Revertir contabilidad, deshacer importación y rehacer importación son acciones distintas y dependen del estado. No deshacer un lote con asientos vigentes. Reversión por inversos o eliminación controlada según política de sociedad y comprobación de originales íntegros; registrar actor, motivo, IDs y revisiones.</w:t>
      </w:r>
    </w:p>
    <w:p>
      <w:pPr>
        <w:widowControl/>
      </w:pPr>
      <w:r>
        <w:rPr>
          <w:b/>
        </w:rPr>
        <w:t xml:space="preserve">RF-NOM-05 · Pendiente. </w:t>
      </w:r>
      <w:r>
        <w:t>Aportar libros de ejemplo y resultados esperados, fórmulas exactas de plantilla, identificación de empleados y política de reversión elegida. El proyecto importa/contabiliza nóminas; no presupone cálculo de nómina legal desde contratos laborales.</w:t>
      </w:r>
    </w:p>
    <w:p>
      <w:pPr>
        <w:widowControl/>
      </w:pPr>
      <w:r>
        <w:rPr>
          <w:sz w:val="18"/>
        </w:rPr>
        <w:t>Aceptación: mismo fichero no duplica lote; empleado ambiguo exige resolver; error en un asiento no deja nóminas parcialmente contabilizadas; cambios posteriores al original impiden reversión insegura; rehacer conserva trazabilidad.</w:t>
      </w:r>
    </w:p>
    <w:p>
      <w:pPr>
        <w:widowControl/>
      </w:pPr>
      <w:r>
        <w:rPr>
          <w:sz w:val="18"/>
        </w:rPr>
        <w:t>Fuentes: INTERFAZ_NOMINAS_KRYPTON.md, contratos de importación y contabilización.</w:t>
      </w:r>
    </w:p>
    <w:p>
      <w:pPr>
        <w:pStyle w:val="Heading1"/>
      </w:pPr>
      <w:r>
        <w:t>19 Norma 43 y tesorería</w:t>
      </w:r>
    </w:p>
    <w:p>
      <w:pPr>
        <w:widowControl/>
      </w:pPr>
      <w:r>
        <w:rPr>
          <w:b/>
        </w:rPr>
        <w:t xml:space="preserve">RF-N43-01 · Documentado. </w:t>
      </w:r>
      <w:r>
        <w:t>Separar lectura del fichero, validación, persistencia, consulta, clasificación y contabilización. Conservar lotes, extractos, movimientos, complementos e incidencias. Idempotencia por sociedad, formato y SHA del contenido. Confirmar el lote completo en transacción.</w:t>
      </w:r>
    </w:p>
    <w:p>
      <w:pPr>
        <w:widowControl/>
      </w:pPr>
      <w:r>
        <w:rPr>
          <w:b/>
        </w:rPr>
        <w:t xml:space="preserve">RF-N43-02 · Documentado. </w:t>
      </w:r>
      <w:r>
        <w:t>Reversión auditada con fecha, operador y motivo; bloquear si pertenece a otra sociedad o hay imputaciones no descartadas/contabilidad confirmada. Reimportación de lote revertido usa su identidad según contrato, sin crear duplicado ni perder evidencias históricas.</w:t>
      </w:r>
    </w:p>
    <w:p>
      <w:pPr>
        <w:widowControl/>
      </w:pPr>
      <w:r>
        <w:rPr>
          <w:b/>
        </w:rPr>
        <w:t xml:space="preserve">RF-N43-03 · Acordado. </w:t>
      </w:r>
      <w:r>
        <w:t>Pantalla de líneas bancarias fiel a maqueta, con filtros y tabla densa, importes, fechas, cuenta/origen, conceptos, detalle y acciones accesibles. No llenar por defecto identificadores desconocidos con 0 o -1 ni convertir ejemplos 555/SEPA en reglas de imputación.</w:t>
      </w:r>
    </w:p>
    <w:p>
      <w:pPr>
        <w:widowControl/>
      </w:pPr>
      <w:r>
        <w:rPr>
          <w:b/>
        </w:rPr>
        <w:t xml:space="preserve">RF-N43-04 · Documentado. </w:t>
      </w:r>
      <w:r>
        <w:t>Fila activa, selección explícita y conjunto cargado son distintos. La consulta del prototipo tiene límite de 2.000 filas: advertirlo y no aplicar acciones masivas fingiendo operar sobre todo el universo filtrado. La reescritura debe definir paginación/virtualización y totales coherentes, sin mantener ese límite como requisito intrínseco.</w:t>
      </w:r>
    </w:p>
    <w:p>
      <w:pPr>
        <w:widowControl/>
      </w:pPr>
      <w:r>
        <w:rPr>
          <w:b/>
        </w:rPr>
        <w:t xml:space="preserve">RF-N43-05 · Pendiente. </w:t>
      </w:r>
      <w:r>
        <w:t>Cobros, pagos, remesas, conciliación, vencimientos y SEPA requieren delimitar propietarios y contratos. Norma 43 no equivale a todo el módulo de tesorería. Tampoco la consulta .10 acredita importación/reversión disponibles desde su UI.</w:t>
      </w:r>
    </w:p>
    <w:p>
      <w:pPr>
        <w:widowControl/>
      </w:pPr>
      <w:r>
        <w:rPr>
          <w:sz w:val="18"/>
        </w:rPr>
        <w:t>Aceptación: reimportar igual archivo no duplica; descuadre muestra incidente; búsqueda/orden mantienen selección por ID; ausencia de cuenta no se convierte en cuenta puente; revertir contabilizado se bloquea; acciones indican su alcance real.</w:t>
      </w:r>
    </w:p>
    <w:p>
      <w:pPr>
        <w:widowControl/>
      </w:pPr>
      <w:r>
        <w:rPr>
          <w:sz w:val="18"/>
        </w:rPr>
        <w:t>Fuentes: MOTOR_NORMA43.md, propuesta del motor y entrega visual de líneas bancarias.</w:t>
      </w:r>
    </w:p>
    <w:p>
      <w:pPr>
        <w:pStyle w:val="Heading1"/>
      </w:pPr>
      <w:r>
        <w:t>20 Activos e inversiones</w:t>
      </w:r>
    </w:p>
    <w:p>
      <w:pPr>
        <w:widowControl/>
      </w:pPr>
      <w:r>
        <w:rPr>
          <w:b/>
        </w:rPr>
        <w:t xml:space="preserve">RF-ACT-01 · Documentado. </w:t>
      </w:r>
      <w:r>
        <w:t>Distinguir instrumento compartido —ISIN, ticker, divisa— de posición de una sociedad y de operaciones de compra, venta, traspaso o ajuste. Compras sucesivas no crean otro instrumento ni otra identidad artificial para la misma posición.</w:t>
      </w:r>
    </w:p>
    <w:p>
      <w:pPr>
        <w:widowControl/>
      </w:pPr>
      <w:r>
        <w:rPr>
          <w:b/>
        </w:rPr>
        <w:t xml:space="preserve">RF-ACT-02 · Documentado. </w:t>
      </w:r>
      <w:r>
        <w:t>Coste, amortización, deterioro, valor contable, cotización/valor actual y resultado latente tienen fuente y fecha. Los agregados materializados son cachés reconstruibles, no campos de ajuste libre. Resolver amortización y cuentas por identidad/rol contable y ejercicio.</w:t>
      </w:r>
    </w:p>
    <w:p>
      <w:pPr>
        <w:widowControl/>
      </w:pPr>
      <w:r>
        <w:rPr>
          <w:b/>
        </w:rPr>
        <w:t xml:space="preserve">RF-ACT-03 · Documentado. </w:t>
      </w:r>
      <w:r>
        <w:t>Plantilla de cuentas por tipo y rol semántico, aprovisionamiento idempotente por activo/plantilla, incidencias recuperables si falta cuenta. Inmuebles se relacionan con contratos y reservas. Datos SEPA heredados no se clasifican como activos por compartir una tabla antigua; tipos 7/9 no autorizan inventar un subtipo inmobiliario.</w:t>
      </w:r>
    </w:p>
    <w:p>
      <w:pPr>
        <w:widowControl/>
      </w:pPr>
      <w:r>
        <w:rPr>
          <w:b/>
        </w:rPr>
        <w:t xml:space="preserve">RF-ACT-04 · Documentado. </w:t>
      </w:r>
      <w:r>
        <w:t>Para fondos, valor liquidativo diario con fuente/fecha; no prometer intradía. Tipos de cambio en unidades de divisa por EUR, con fallback histórico explícito. Propuesta de compra por presupuesto respeta unidades enteras cuando corresponda y no supera presupuesto; provisional se concilia con cargo real y diferencias.</w:t>
      </w:r>
    </w:p>
    <w:p>
      <w:pPr>
        <w:widowControl/>
      </w:pPr>
      <w:r>
        <w:rPr>
          <w:b/>
        </w:rPr>
        <w:t xml:space="preserve">RF-ACT-05 · Documentado. </w:t>
      </w:r>
      <w:r>
        <w:t>Separar evolución normalizada del mercado y rentabilidad efectiva con flujos, gastos, dividendos, impuestos y FX. Gráfico de exposición continua durante tenencia y diferenciada fuera de ella, incluyendo venta total y reentrada. Casos de una cartera de ejemplo no fijan límites universales del producto.</w:t>
      </w:r>
    </w:p>
    <w:p>
      <w:pPr>
        <w:widowControl/>
      </w:pPr>
      <w:r>
        <w:rPr>
          <w:sz w:val="18"/>
        </w:rPr>
        <w:t>Aceptación: varias compras agregan posición; venta total/recompra conserva historial; cotización antigua muestra fecha; presupuesto no excedido; reconstrucción coincide con operaciones; sin cuenta no se contabiliza silenciosamente.</w:t>
      </w:r>
    </w:p>
    <w:p>
      <w:pPr>
        <w:widowControl/>
      </w:pPr>
      <w:r>
        <w:rPr>
          <w:sz w:val="18"/>
        </w:rPr>
        <w:t>Fuente: MODELO_ACTIVOS.md y contrato de Gráficos.</w:t>
      </w:r>
    </w:p>
    <w:p>
      <w:pPr>
        <w:pStyle w:val="Heading1"/>
      </w:pPr>
      <w:r>
        <w:t>21 Gestión documental</w:t>
      </w:r>
    </w:p>
    <w:p>
      <w:pPr>
        <w:widowControl/>
      </w:pPr>
      <w:r>
        <w:rPr>
          <w:b/>
        </w:rPr>
        <w:t xml:space="preserve">RF-DOC-01 · Acordado. </w:t>
      </w:r>
      <w:r>
        <w:t>Tabla base Documentos. Un documento puede vincularse a terceros, asientos, contratos, facturas de venta y compra mediante relaciones N:M. Se incorporará manualmente desde fichas o automáticamente al producir documentos, por ejemplo una factura. Puede prepararse para enviar al tercero o a otro destinatario.</w:t>
      </w:r>
    </w:p>
    <w:p>
      <w:pPr>
        <w:widowControl/>
      </w:pPr>
      <w:r>
        <w:rPr>
          <w:b/>
        </w:rPr>
        <w:t xml:space="preserve">RF-DOC-02 · Acordado. </w:t>
      </w:r>
      <w:r>
        <w:t>Fichero guarda ruta relativa a raíz configurable; predeterminada la carpeta Documentos bajo la base de la aplicación, no bajo el directorio de trabajo. No es necesario migrar documentos actuales ni convertir sus rutas absolutas. Preservar los originales.</w:t>
      </w:r>
    </w:p>
    <w:p>
      <w:pPr>
        <w:widowControl/>
      </w:pPr>
      <w:r>
        <w:rPr>
          <w:b/>
        </w:rPr>
        <w:t xml:space="preserve">RF-DOC-03 · Propuesto. </w:t>
      </w:r>
      <w:r>
        <w:t>Vínculos tipados con FK, sin tabla universal TipoEntidad+Id que pierda integridad. Relación a Terceros evita duplicar vínculos a Clientes/Proveedores; esta última elección sigue siendo propuesta contractual. Documento por sociedad permanente y posibilidad de varios ejercicios, sin compartir entre sociedades en primer incremento, pendiente de ratificación.</w:t>
      </w:r>
    </w:p>
    <w:p>
      <w:pPr>
        <w:widowControl/>
      </w:pPr>
      <w:r>
        <w:rPr>
          <w:b/>
        </w:rPr>
        <w:t xml:space="preserve">RF-DOC-04 · Propuesto. </w:t>
      </w:r>
      <w:r>
        <w:t>Separar documento lógico y versiones inmutables. Adjuntos enviados y PDFs emitidos referencian la versión exacta; consulta ordinaria puede mostrar vigente. Misma huella no fusiona automáticamente. Una rectificativa es otro documento; regenerar bytes distintos no reemplaza silenciosamente original.</w:t>
      </w:r>
    </w:p>
    <w:p>
      <w:pPr>
        <w:widowControl/>
      </w:pPr>
      <w:r>
        <w:rPr>
          <w:b/>
        </w:rPr>
        <w:t xml:space="preserve">RF-DOC-05 · Propuesto. </w:t>
      </w:r>
      <w:r>
        <w:t>Copia gestionada al almacén con staging, tamaño/hash, confirmación de metadatos, publicación y recuperación. Access y sistema de archivos no comparten transacción; un fallo se conserva como operación pendiente, no como documento disponible. Ruta normalizada debe permanecer dentro de raíz; no aceptar escapes ni resolver una ruta arbitraria como autorización.</w:t>
      </w:r>
    </w:p>
    <w:p>
      <w:pPr>
        <w:widowControl/>
      </w:pPr>
      <w:r>
        <w:rPr>
          <w:b/>
        </w:rPr>
        <w:t xml:space="preserve">RF-DOC-06 · Propuesto. </w:t>
      </w:r>
      <w:r>
        <w:t>Consulta agregada del tercero reúne vínculos directos e indirectos autorizados, agrupa por documento y explica procedencias. No deducir relaciones por NIF/texto/importes. Desvincular no borra archivo. Retirar y purgar son diferentes; primera entrega sin purga física. Copia de seguridad deberá incluir BD y almacén de forma coherente.</w:t>
      </w:r>
    </w:p>
    <w:p>
      <w:pPr>
        <w:widowControl/>
      </w:pPr>
      <w:r>
        <w:rPr>
          <w:b/>
        </w:rPr>
        <w:t xml:space="preserve">RF-DOC-07 · Pendiente. </w:t>
      </w:r>
      <w:r>
        <w:t>Confirmar versiones, sociedad, retención, límites, permisos, raíz compartida entre equipos y protocolo con correo. La recomendación antigua de denegar siempre capacidades sin política no sustituye la regla del usuario de ámbito vacío permisivo; distinguir operación aún no implementada de permiso denegado.</w:t>
      </w:r>
    </w:p>
    <w:p>
      <w:pPr>
        <w:widowControl/>
      </w:pPr>
      <w:r>
        <w:rPr>
          <w:sz w:val="18"/>
        </w:rPr>
        <w:t>Aceptación propuesta: un documento con varios vínculos aparece una vez; eliminar un vínculo conserva los demás; adjunto histórico devuelve mismos bytes; raíz inaccesible informa sin cambiarla; fallo de publicación se recupera sin duplicar factura ni documento.</w:t>
      </w:r>
    </w:p>
    <w:p>
      <w:pPr>
        <w:widowControl/>
      </w:pPr>
      <w:r>
        <w:rPr>
          <w:sz w:val="18"/>
        </w:rPr>
        <w:t>Fuente: contratos/DOC-GESTOR.md v0.3. Salvo decisiones marcadas Acordado, se trata de diseño inicial, no implementación acreditada.</w:t>
      </w:r>
    </w:p>
    <w:p>
      <w:pPr>
        <w:pStyle w:val="Heading1"/>
      </w:pPr>
      <w:r>
        <w:t>22 Correo individual registro y lotes</w:t>
      </w:r>
    </w:p>
    <w:p>
      <w:pPr>
        <w:widowControl/>
      </w:pPr>
      <w:r>
        <w:rPr>
          <w:b/>
        </w:rPr>
        <w:t xml:space="preserve">RF-COR-01 · Acordado. </w:t>
      </w:r>
      <w:r>
        <w:t>Compositor individual modal respecto de su propietario, movible, sin TopMost global. Recibe sociedad/ejercicio, remitente, destinatarios, contenido y adjuntos del origen. Cambiar el contexto del shell no altera ese mensaje preparado.</w:t>
      </w:r>
    </w:p>
    <w:p>
      <w:pPr>
        <w:widowControl/>
      </w:pPr>
      <w:r>
        <w:rPr>
          <w:b/>
        </w:rPr>
        <w:t xml:space="preserve">RF-COR-02 · Documentado. </w:t>
      </w:r>
      <w:r>
        <w:t>Para, CC y CCO separados, validación localizada, asunto, cuerpo, formato/plantilla cuando esté disponible y adjuntos con identidad/tamaño/disponibilidad. Las opciones visibles solo se habilitan si hay capacidad real. Guardar borrador en memoria no equivale a persistencia entre sesiones.</w:t>
      </w:r>
    </w:p>
    <w:p>
      <w:pPr>
        <w:widowControl/>
      </w:pPr>
      <w:r>
        <w:rPr>
          <w:b/>
        </w:rPr>
        <w:t xml:space="preserve">RF-COR-03 · Acordado. </w:t>
      </w:r>
      <w:r>
        <w:t>Cualquier proceso de más de un email omite el compositor por mensaje. Un componente común consulta registro de salientes y entrantes desde menú; un proceso puede abrirlo al final como ventana modal independiente, filtrada por lote, no como child. Doble clic consulta detalle y las acciones permitidas de reenvío/reintento.</w:t>
      </w:r>
    </w:p>
    <w:p>
      <w:pPr>
        <w:widowControl/>
      </w:pPr>
      <w:r>
        <w:rPr>
          <w:b/>
        </w:rPr>
        <w:t xml:space="preserve">RF-COR-04 · Documentado. </w:t>
      </w:r>
      <w:r>
        <w:t>INF-COR mantiene cuentas, asignaciones, TLS, clientes y secretos; dirección remitente y usuario de autenticación son diferentes. Credenciales fuera de Access; el diseño actual usa referencias y DPAPI CurrentUser. No copiar cifrados personales esperando que funcionen en otro equipo. OAuth interactivo requiere configuración del proveedor; no se da por resuelto.</w:t>
      </w:r>
    </w:p>
    <w:p>
      <w:pPr>
        <w:widowControl/>
      </w:pPr>
      <w:r>
        <w:rPr>
          <w:b/>
        </w:rPr>
        <w:t xml:space="preserve">RF-COR-05 · Propuesto. </w:t>
      </w:r>
      <w:r>
        <w:t>Coordinador saliente durable en INF-DIS, identidad lógica y Message-ID antes de red, instantánea de contenido/destinatarios/adjuntos, intentos y eventos. No reducir resultado a Boolean: distinguir aceptación total/parcial, fallo confirmado, incertidumbre y cancelación antes de transmitir. Aceptado por servidor no equivale a entregado; entrega/rebote requieren evidencia independiente.</w:t>
      </w:r>
    </w:p>
    <w:p>
      <w:pPr>
        <w:widowControl/>
      </w:pPr>
      <w:r>
        <w:rPr>
          <w:b/>
        </w:rPr>
        <w:t xml:space="preserve">RF-COR-06 · Propuesto. </w:t>
      </w:r>
      <w:r>
        <w:t>Reintentar añade intento al mensaje ante fallo confirmado; reenviar crea mensaje nuevo relacionado. Incertidumbre no habilita reenvío ciego. Cerrar seguimiento no cancela el lote. Cancelación solo de trabajo aún no transmitido según contrato. Política Message-ID, pausa, borradores durables, reintentos automáticos y resolución manual siguen pendientes.</w:t>
      </w:r>
    </w:p>
    <w:p>
      <w:pPr>
        <w:widowControl/>
      </w:pPr>
      <w:r>
        <w:rPr>
          <w:b/>
        </w:rPr>
        <w:t xml:space="preserve">RF-COR-07 · Acordado. </w:t>
      </w:r>
      <w:r>
        <w:t>No duplicar transporte, cola ni historial en Facturación, Terceros o Documentos. Originadores preparan contenido; DOC-GESTOR provee versión documental; INF-COR presenta/envía y INF-DIS coordina.</w:t>
      </w:r>
    </w:p>
    <w:p>
      <w:pPr>
        <w:widowControl/>
      </w:pPr>
      <w:r>
        <w:rPr>
          <w:sz w:val="18"/>
        </w:rPr>
        <w:t>Aceptación: botón de tercero abre compositor común; cancelar no envía; diez mensajes no abren diez modales; rechazo de un destinatario no marca fallo total si otros aceptaron; caída tras transmisión no afirma no enviado; detalle histórico no cambia al editar plantilla.</w:t>
      </w:r>
    </w:p>
    <w:p>
      <w:pPr>
        <w:widowControl/>
      </w:pPr>
      <w:r>
        <w:rPr>
          <w:sz w:val="18"/>
        </w:rPr>
        <w:t>Fuentes: ACUERDOS_CORREO_20261001.md, GESTOR_CORREO.md, CONTRATO_COMPOSITOR_Y_LOTES_CORREO.md e INTEGRACION_COMPOSITOR_WPF.md. El prototipo .10 solo prepara/cancela/devuelve borrador en memoria; no conecta envío real desde esa pantalla.</w:t>
      </w:r>
    </w:p>
    <w:p>
      <w:pPr>
        <w:pStyle w:val="Heading1"/>
      </w:pPr>
      <w:r>
        <w:t>23 Recepción y procesamiento de correo</w:t>
      </w:r>
    </w:p>
    <w:p>
      <w:pPr>
        <w:widowControl/>
      </w:pPr>
      <w:r>
        <w:rPr>
          <w:b/>
        </w:rPr>
        <w:t xml:space="preserve">RF-DIS-01 · Documentado. </w:t>
      </w:r>
      <w:r>
        <w:t>Mail Dispatcher autoriza remitentes, interpreta comandos, clasifica adjuntos, coordina idempotencia y respuestas. El transporte corresponde a Gestor Correo. No es un cliente de correo general ni una integración obligatoria con EudoraMail.</w:t>
      </w:r>
    </w:p>
    <w:p>
      <w:pPr>
        <w:widowControl/>
      </w:pPr>
      <w:r>
        <w:rPr>
          <w:b/>
        </w:rPr>
        <w:t xml:space="preserve">RF-DIS-02 · Documentado. </w:t>
      </w:r>
      <w:r>
        <w:t>La implementación posterior utiliza POP3 y UIDL. Un documento antiguo describe IMAP con identidad cuenta/carpeta/UIDVALIDITY/UID. Son alternativas de protocolo, no claves intercambiables. Ratificar protocolo(s) soportados y conservar idempotencia estable según cuenta y protocolo; Message-ID solo no identifica de forma segura una recepción.</w:t>
      </w:r>
    </w:p>
    <w:p>
      <w:pPr>
        <w:widowControl/>
      </w:pPr>
      <w:r>
        <w:rPr>
          <w:b/>
        </w:rPr>
        <w:t xml:space="preserve">RF-DIS-03 · Documentado. </w:t>
      </w:r>
      <w:r>
        <w:t>Flujo funcional objetivo de factura recibida: conservar MIME/PDF y huellas, validar remitente/adjunto, reconocer compra, resolver intervención necesaria, registrar, contabilizar, confirmar al operador y finalmente eliminar del servidor solo bajo política explícita y evidencia de todos los pasos anteriores.</w:t>
      </w:r>
    </w:p>
    <w:p>
      <w:pPr>
        <w:widowControl/>
      </w:pPr>
      <w:r>
        <w:rPr>
          <w:b/>
        </w:rPr>
        <w:t xml:space="preserve">RF-DIS-04 · Documentado. </w:t>
      </w:r>
      <w:r>
        <w:t>Persistir hitos para reanudar sin duplicar compra/asiento/respuesta. Mensaje inválido, sin PDF, ambiguo, de remitente no autorizado o con fallo pendiente no se borra para limpiar la bandeja. La eliminación remota es última fase separada de transacción contable; no purgar mensajes ajenos.</w:t>
      </w:r>
    </w:p>
    <w:p>
      <w:pPr>
        <w:widowControl/>
      </w:pPr>
      <w:r>
        <w:rPr>
          <w:b/>
        </w:rPr>
        <w:t xml:space="preserve">RF-DIS-05 · Pendiente. </w:t>
      </w:r>
      <w:r>
        <w:t>Publicar gramática de comandos, límites de adjuntos, destino por sociedad, política de eliminación POP3, respuestas inciertas y autorización efectiva. La cola saliente para lotes aún no existe por disponer ya de receptor entrante.</w:t>
      </w:r>
    </w:p>
    <w:p>
      <w:pPr>
        <w:widowControl/>
      </w:pPr>
      <w:r>
        <w:rPr>
          <w:b/>
        </w:rPr>
        <w:t xml:space="preserve">RF-DIS-06 · Documentado. </w:t>
      </w:r>
      <w:r>
        <w:t>El Dispatcher observado reconoce adjuntos mediante los motores propietarios en orden Norma 43, Nóminas y Facturas de compra, procesando cada fichero independientemente y conservando resultados parciales. El contexto se resuelve por direcciones destinatarias configuradas, no por el asunto; cero o varias configuraciones compatibles producen una incidencia, nunca selección arbitraria de empresa/ejercicio.</w:t>
      </w:r>
    </w:p>
    <w:p>
      <w:pPr>
        <w:widowControl/>
      </w:pPr>
      <w:r>
        <w:rPr>
          <w:b/>
        </w:rPr>
        <w:t xml:space="preserve">RF-DIS-07 · Documentado. </w:t>
      </w:r>
      <w:r>
        <w:t>Sin adjuntos interpreta comandos del asunto mediante catálogo extensible, con alias únicos, sintaxis, formatos y permiso. El catálogo inicial incluye Balance de situación, PYG, Modelo, Mayor, Diario, Retenciones e Indicadores; ejemplos: MAYOR 4300001 PDF y 347 2026 XLSX. Comando desconocido ofrece ayuda filtrada por permisos. Tener una entrada en ese catálogo no prueba que su informe o modelo esté implementado ni habilita exportaciones fiscales incompletas. La autorización de comandos y la de importaciones deben quedar verificadas por separado.</w:t>
      </w:r>
    </w:p>
    <w:p>
      <w:pPr>
        <w:widowControl/>
      </w:pPr>
      <w:r>
        <w:rPr>
          <w:sz w:val="18"/>
        </w:rPr>
        <w:t>Aceptación: sondeos repetidos continúan misma operación; caída tras asiento no lo duplica; remitente no admitido no ejecuta comando; adjunto sin resolución no se elimina; fallo en respuesta conserva fase recuperable.</w:t>
      </w:r>
    </w:p>
    <w:p>
      <w:pPr>
        <w:widowControl/>
      </w:pPr>
      <w:r>
        <w:rPr>
          <w:sz w:val="18"/>
        </w:rPr>
        <w:t>Fuentes: GESTOR_CORREO.md, RECEPCION_CORREO.md como antecedente y contratos de código de MailDispatcher. El intento de publicar un contrato posterior en su hilo quedó bloqueado por permisos de archivos; no se acredita documento guardado por un mensaje de intención.</w:t>
      </w:r>
    </w:p>
    <w:p>
      <w:pPr>
        <w:pStyle w:val="Heading1"/>
      </w:pPr>
      <w:r>
        <w:t>24 Reporting y gráficos</w:t>
      </w:r>
    </w:p>
    <w:p>
      <w:pPr>
        <w:widowControl/>
      </w:pPr>
      <w:r>
        <w:rPr>
          <w:b/>
        </w:rPr>
        <w:t xml:space="preserve">RF-REP-01 · Documentado. </w:t>
      </w:r>
      <w:r>
        <w:t>Separar catálogo/tipo, proveedor de datos y plantilla. Plantillas versionadas e inmutables una vez publicadas; editar produce borrador nuevo. Orígenes SQL publicados/versionados, no acceso libre a Access desde un archivo de presentación.</w:t>
      </w:r>
    </w:p>
    <w:p>
      <w:pPr>
        <w:widowControl/>
      </w:pPr>
      <w:r>
        <w:rPr>
          <w:b/>
        </w:rPr>
        <w:t xml:space="preserve">RF-REP-02 · Documentado. </w:t>
      </w:r>
      <w:r>
        <w:t>Salidas HTML tabular, PDF, XLSX de datos con tipos/filtros/totales y XLSX de presentación con plantilla. No depender de Excel COM para cálculo normal del motor. Factura PDF consume un modelo estable con emisor, destinatario, líneas, importes y QR; su plantilla editable no redefine cálculo fiscal.</w:t>
      </w:r>
    </w:p>
    <w:p>
      <w:pPr>
        <w:widowControl/>
      </w:pPr>
      <w:r>
        <w:rPr>
          <w:b/>
        </w:rPr>
        <w:t xml:space="preserve">RF-REP-03 · Pendiente. </w:t>
      </w:r>
      <w:r>
        <w:t>Homogeneizar parámetros comunes, concurrencia/versiones de catálogo, ficheros corruptos y cobertura de balances/comparativos. La integración WPF/LEOC es gradual; no es requisito de dominio usar LEOC para todas las nuevas pantallas.</w:t>
      </w:r>
    </w:p>
    <w:p>
      <w:pPr>
        <w:widowControl/>
      </w:pPr>
      <w:r>
        <w:rPr>
          <w:b/>
        </w:rPr>
        <w:t xml:space="preserve">RF-GRA-01 · Documentado. </w:t>
      </w:r>
      <w:r>
        <w:t>Motor de gráficos neutral reutilizable desde WPF e informes/exportaciones. Consumidor aporta series/cálculos; motor dibuja. Contrato observado soporta PNG y presentación WPF, períodos, leyenda, zoom, desplazamiento, restablecer y cursor con dato/fecha exactos.</w:t>
      </w:r>
    </w:p>
    <w:p>
      <w:pPr>
        <w:widowControl/>
      </w:pPr>
      <w:r>
        <w:rPr>
          <w:b/>
        </w:rPr>
        <w:t xml:space="preserve">RF-GRA-02 · Documentado. </w:t>
      </w:r>
      <w:r>
        <w:t>No interpolar huecos como datos reales. Preservar límites de exposición y discontinuidades. Rendimiento de mercado y cartera real son series distintas. Exportar PNG/CSV según capacidad real; un ejemplo sintético no certifica precisión financiera ni comportamiento con todos los volúmenes.</w:t>
      </w:r>
    </w:p>
    <w:p>
      <w:pPr>
        <w:widowControl/>
      </w:pPr>
      <w:r>
        <w:rPr>
          <w:sz w:val="18"/>
        </w:rPr>
        <w:t>Aceptación: informe usa plantilla publicada exacta; anterior no cambia al publicar otra; exportación conserva decimales/fechas; datos del gráfico coinciden con origen; huecos visibles; filtros contextuales idénticos entre vista y exportación.</w:t>
      </w:r>
    </w:p>
    <w:p>
      <w:pPr>
        <w:widowControl/>
      </w:pPr>
      <w:r>
        <w:rPr>
          <w:sz w:val="18"/>
        </w:rPr>
        <w:t>Fuentes: REPORTING.md y MOTOR_GRAFICOS.md.</w:t>
      </w:r>
    </w:p>
    <w:p>
      <w:pPr>
        <w:pStyle w:val="Heading1"/>
      </w:pPr>
      <w:r>
        <w:t>25 ActualizadorEsquema y base maestra</w:t>
      </w:r>
    </w:p>
    <w:p>
      <w:pPr>
        <w:widowControl/>
      </w:pPr>
      <w:r>
        <w:rPr>
          <w:b/>
        </w:rPr>
        <w:t xml:space="preserve">RF-ESQ-01 · Acordado. </w:t>
      </w:r>
      <w:r>
        <w:t>Evolución estructural reproducible, con versiones e historial; nunca depender de cambios manuales aislados del accdb. Cada módulo aporta su modelo lógico y reglas; Actualizador integra orden, dependencias, DDL, diagnósticos y compatibilidad.</w:t>
      </w:r>
    </w:p>
    <w:p>
      <w:pPr>
        <w:widowControl/>
      </w:pPr>
      <w:r>
        <w:rPr>
          <w:b/>
        </w:rPr>
        <w:t xml:space="preserve">RF-ESQ-02 · Documentado. </w:t>
      </w:r>
      <w:r>
        <w:t>Inspeccionar versión/estructura, detectar cambios desconocidos o parciales, respaldar y exigir exclusividad donde corresponda. ACE no garantiza rollback general del DDL: una instalación parcial no se resuelve reejecutando ciegamente. Recuperar mediante respaldo/procedimiento verificado.</w:t>
      </w:r>
    </w:p>
    <w:p>
      <w:pPr>
        <w:widowControl/>
      </w:pPr>
      <w:r>
        <w:rPr>
          <w:b/>
        </w:rPr>
        <w:t xml:space="preserve">RF-ESQ-03 · Acordado. </w:t>
      </w:r>
      <w:r>
        <w:t>Antes de producción puede replantearse la base del actualizador y crear una maestra limpia; eso no autoriza perder datos, correspondencias o reglas ni modifica originales. Separar creación de nueva maestra, actualización de instalación e importación de negocio.</w:t>
      </w:r>
    </w:p>
    <w:p>
      <w:pPr>
        <w:widowControl/>
      </w:pPr>
      <w:r>
        <w:rPr>
          <w:b/>
        </w:rPr>
        <w:t xml:space="preserve">RF-ESQ-04 · Documentado. </w:t>
      </w:r>
      <w:r>
        <w:t>Corte identificado en fuentes: maestra 0.23, 130 tablas/23 versiones; ampliación de contactos libres 0.24, 131 tablas/24 versiones, con Terceros.Email de 150. El prototipo .10 mantiene TERCEROS_VF_1, Email de 254 y extensión de contactos libres, con historial operativo distinto. Los números de versión no permiten sustituir una base por otra sin comparación.</w:t>
      </w:r>
    </w:p>
    <w:p>
      <w:pPr>
        <w:widowControl/>
      </w:pPr>
      <w:r>
        <w:rPr>
          <w:b/>
        </w:rPr>
        <w:t xml:space="preserve">RF-ESQ-05 · Documentado. </w:t>
      </w:r>
      <w:r>
        <w:t>Maestra candidata histórica: work/databases/ProConta.Maestra.ContactosLibres.0.24.accdb de ActualizadorEsquema, SHA-256 A86FA74B1BDB26B88B1A9F258B8FC3D16F52A8E086CA9C114C4697A18E03048D. Se cita la evidencia del 1 de octubre, no se certifica que siga siendo la seleccionada o que sus bytes actuales sean idénticos. El usuario adjuntará el corte definitivo con su hash.</w:t>
      </w:r>
    </w:p>
    <w:p>
      <w:pPr>
        <w:widowControl/>
      </w:pPr>
      <w:r>
        <w:rPr>
          <w:b/>
        </w:rPr>
        <w:t xml:space="preserve">RF-ESQ-06 · Documentado. </w:t>
      </w:r>
      <w:r>
        <w:t>La comparación del supermodelo detectó excepción de índice Sociedades(CIF) por límite ACE con relaciones/índices existentes. No eliminar relaciones para forzar una coincidencia sin decisión de diseño. Documentar campos, catálogos, índices, relaciones y restricciones que deban comprobarse en servicio.</w:t>
      </w:r>
    </w:p>
    <w:p>
      <w:pPr>
        <w:widowControl/>
      </w:pPr>
      <w:r>
        <w:rPr>
          <w:sz w:val="18"/>
        </w:rPr>
        <w:t>Aceptación: crear maestra desde cero; diagnóstico sin hallazgos no explicados; segunda ejecución idempotente; migración parcial se detecta; backup recuperable; consumidores prueban tipos/longitudes exactos y no truncan valores.</w:t>
      </w:r>
    </w:p>
    <w:p>
      <w:pPr>
        <w:widowControl/>
      </w:pPr>
      <w:r>
        <w:rPr>
          <w:sz w:val="18"/>
        </w:rPr>
        <w:t>Fuentes: documentos actualizador-esquema y manifiestos adjuntos como referencia no ejecutable automáticamente.</w:t>
      </w:r>
    </w:p>
    <w:p>
      <w:pPr>
        <w:pStyle w:val="Heading1"/>
      </w:pPr>
      <w:r>
        <w:t>26 MigradorERP e Importador ContaSol</w:t>
      </w:r>
    </w:p>
    <w:p>
      <w:pPr>
        <w:pStyle w:val="Heading2"/>
      </w:pPr>
      <w:r>
        <w:t>26.1 Migración única del ERP</w:t>
      </w:r>
    </w:p>
    <w:p>
      <w:pPr>
        <w:widowControl/>
      </w:pPr>
      <w:r>
        <w:rPr>
          <w:b/>
        </w:rPr>
        <w:t xml:space="preserve">RF-ERP-01 · Acordado. </w:t>
      </w:r>
      <w:r>
        <w:t>Migrar ProcontaEstructura.accdb, originalmente deporwin.mdb, para sustituir esta instalación. No es un conector recurrente tras retirar el ERP. Repetir ensayos sobre destino nuevo, con origen de solo lectura, inventario completo y conciliación.</w:t>
      </w:r>
    </w:p>
    <w:p>
      <w:pPr>
        <w:widowControl/>
      </w:pPr>
      <w:r>
        <w:rPr>
          <w:b/>
        </w:rPr>
        <w:t xml:space="preserve">RF-ERP-02 · Acordado. </w:t>
      </w:r>
      <w:r>
        <w:t>Coordinador central reúne transformaciones de cada propietario de modelo. Cada tabla/campo tiene destino, transformación, clave de mapa, dependencia, criterio de conservación/descarte y prueba. Tablas huérfanas se mantienen como pendiente explícito, nunca se descartan por omisión.</w:t>
      </w:r>
    </w:p>
    <w:p>
      <w:pPr>
        <w:widowControl/>
      </w:pPr>
      <w:r>
        <w:rPr>
          <w:b/>
        </w:rPr>
        <w:t xml:space="preserve">RF-ERP-03 · Documentado. </w:t>
      </w:r>
      <w:r>
        <w:t>Clasificación acordada de tablas ContaSol en el legado: F_ seguido de exactamente tres caracteres, excepto F_NOM. Nombres más largos como F_NOM_ALIAS o F_APUMANUAL no quedan excluidos por ese patrón. No cargar dos veces datos compartidos por ERP y ContaSol.</w:t>
      </w:r>
    </w:p>
    <w:p>
      <w:pPr>
        <w:widowControl/>
      </w:pPr>
      <w:r>
        <w:rPr>
          <w:b/>
        </w:rPr>
        <w:t xml:space="preserve">RF-ERP-04 · Acordado. </w:t>
      </w:r>
      <w:r>
        <w:t>Preservar número/importe/instantánea fiscal e identidades por mapas. No reenviar históricas a AEAT ni activar programaciones o correos al cargar. No fusionar terceros por NIF. Migración documental histórica excluida por decisión expresa del usuario.</w:t>
      </w:r>
    </w:p>
    <w:p>
      <w:pPr>
        <w:widowControl/>
      </w:pPr>
      <w:r>
        <w:rPr>
          <w:b/>
        </w:rPr>
        <w:t xml:space="preserve">RF-ERP-05 · Pendiente. </w:t>
      </w:r>
      <w:r>
        <w:t>Cobertura temporal, entidades deportivas/heredadas, configuración a conservar, activación posterior y mapeos aún no validados. Inventario publicado observó 135 tablas y 114 vistas; no acredita executor integral de todas ellas ni todos los objetos de Access.</w:t>
      </w:r>
    </w:p>
    <w:p>
      <w:pPr>
        <w:pStyle w:val="Heading2"/>
      </w:pPr>
      <w:r>
        <w:t>26.2 Importación reutilizable de ContaSol</w:t>
      </w:r>
    </w:p>
    <w:p>
      <w:pPr>
        <w:widowControl/>
      </w:pPr>
      <w:r>
        <w:rPr>
          <w:b/>
        </w:rPr>
        <w:t xml:space="preserve">RF-CS-01 · Acordado. </w:t>
      </w:r>
      <w:r>
        <w:t>Un accdb de origen por ejercicio, perfil/versiones reconocidos, origen intacto. Inspección y simulación previas; no importar esquema desconocido por parecido de nombres. VersionesEsquema y control de importaciones son responsabilidades distintas.</w:t>
      </w:r>
    </w:p>
    <w:p>
      <w:pPr>
        <w:widowControl/>
      </w:pPr>
      <w:r>
        <w:rPr>
          <w:b/>
        </w:rPr>
        <w:t xml:space="preserve">RF-CS-02 · Documentado. </w:t>
      </w:r>
      <w:r>
        <w:t>Orden: sociedad/ejercicio; centros/cuentas; terceros y roles; facturas; asientos; IVA/retenciones; vencimientos/cobros; bancos; resto validado; derivados y reconciliación. Mapear IDs de origen al destino; código o PK de origen nunca se presupone identidad global.</w:t>
      </w:r>
    </w:p>
    <w:p>
      <w:pPr>
        <w:widowControl/>
      </w:pPr>
      <w:r>
        <w:rPr>
          <w:b/>
        </w:rPr>
        <w:t xml:space="preserve">RF-CS-03 · Documentado. </w:t>
      </w:r>
      <w:r>
        <w:t>F_APU se agrupa con claves completas de origen y contexto, respetando diario y asiento. Usar motor común de Asientos; no ajustar diferencias arbitrarias. DEPAPU/SUBAPU representan centros jerárquicos; F_OAS y F_APUMANUAL son metadatos, no un segundo libro mayor.</w:t>
      </w:r>
    </w:p>
    <w:p>
      <w:pPr>
        <w:widowControl/>
      </w:pPr>
      <w:r>
        <w:rPr>
          <w:b/>
        </w:rPr>
        <w:t xml:space="preserve">RF-CS-04 · Documentado. </w:t>
      </w:r>
      <w:r>
        <w:t>Reanudación por fases con huella/versiones y checkpoint atómico con entidades/mapas/vínculos. Cancelar entre unidades recuperables. Un origen cambiado invalida la reanudación automática. Períodos fiscales presentados deben importarse antes de permitir modificaciones incompatibles.</w:t>
      </w:r>
    </w:p>
    <w:p>
      <w:pPr>
        <w:widowControl/>
      </w:pPr>
      <w:r>
        <w:rPr>
          <w:b/>
        </w:rPr>
        <w:t xml:space="preserve">RF-CS-05 · Documentado. </w:t>
      </w:r>
      <w:r>
        <w:t>Conciliar recuentos, Debe/Haber, saldos, IVA, facturas, pendientes, movimientos bancarios y mapas. Bloqueadores impiden confirmar, incidencias toleradas quedan explicadas. El mismo código de cliente/proveedor en distintos ejercicios no se fusiona sin correspondencia explícita.</w:t>
      </w:r>
    </w:p>
    <w:p>
      <w:pPr>
        <w:widowControl/>
      </w:pPr>
      <w:r>
        <w:rPr>
          <w:sz w:val="18"/>
        </w:rPr>
        <w:t>Aceptación conjunta: ensayo repetible en base nueva; original sin cambios; ninguna tabla queda silenciosamente omitida; reanudar no duplica; mapas de tercero/rol coherentes; balances y documentos históricos conciliados; tareas externas desactivadas.</w:t>
      </w:r>
    </w:p>
    <w:p>
      <w:pPr>
        <w:widowControl/>
      </w:pPr>
      <w:r>
        <w:rPr>
          <w:sz w:val="18"/>
        </w:rPr>
        <w:t>Fuentes: MIGRADOR_ERP.md, MIGRADOR_ERP_TABLAS.md, PROTOCOLO_IMPORTACION_CONTASOL.md y modelos anexos.</w:t>
      </w:r>
    </w:p>
    <w:p>
      <w:pPr>
        <w:pStyle w:val="Heading1"/>
      </w:pPr>
      <w:r>
        <w:t>27 Requisitos transversales de ingeniería y operación</w:t>
      </w:r>
    </w:p>
    <w:p>
      <w:pPr>
        <w:widowControl/>
      </w:pPr>
      <w:r>
        <w:rPr>
          <w:b/>
        </w:rPr>
        <w:t xml:space="preserve">RF-TEC-01 · Acordado. </w:t>
      </w:r>
      <w:r>
        <w:t>Separar presentación, aplicación, dominio, persistencia e integraciones. No pasar controles, DataRow ni conexiones al dominio. Consultas parametrizadas y parámetros OLE DB por posición. Conexiones/transacciones cortas; no mantenerlas durante HTTP, SMTP, OCR o copia de ficheros.</w:t>
      </w:r>
    </w:p>
    <w:p>
      <w:pPr>
        <w:widowControl/>
      </w:pPr>
      <w:r>
        <w:rPr>
          <w:b/>
        </w:rPr>
        <w:t xml:space="preserve">RF-TEC-02 · Acordado. </w:t>
      </w:r>
      <w:r>
        <w:t>Código propio en español, PascalCase público, campos privados _camelCase, locales camelCase; Async en métodos asíncronos y Async Sub solo eventos cuando corresponda. Option Strict/Explicit/Infer On. XML de procedimientos con finalidad, parámetros, retornos y efectos. Conservar nombres de tablas/campos reales salvo migración acordada; no trasladar prefijos antiguos C/cls como convención nueva.</w:t>
      </w:r>
    </w:p>
    <w:p>
      <w:pPr>
        <w:widowControl/>
      </w:pPr>
      <w:r>
        <w:rPr>
          <w:b/>
        </w:rPr>
        <w:t xml:space="preserve">RF-TEC-03 · Propuesto. </w:t>
      </w:r>
      <w:r>
        <w:t>Concurrencia optimista para fichas y unicidad en BD para identidades operativas. Detectar conflicto con versión leída; no sobrescribir cambios de otro operador silenciosamente. Fijar política por módulo y comprobar sus restricciones reales en ACE.</w:t>
      </w:r>
    </w:p>
    <w:p>
      <w:pPr>
        <w:widowControl/>
      </w:pPr>
      <w:r>
        <w:rPr>
          <w:b/>
        </w:rPr>
        <w:t xml:space="preserve">RF-TEC-04 · Acordado. </w:t>
      </w:r>
      <w:r>
        <w:t>Esquema de pruebas separado de producción; efectos externos desactivados por defecto en ensayos. No incluir credenciales, certificados privados, originales financieros ni copias de BD en Git. Logs útiles con correlación/actor/contexto sin secretos; mensajes al operador con acciones correctoras.</w:t>
      </w:r>
    </w:p>
    <w:p>
      <w:pPr>
        <w:widowControl/>
      </w:pPr>
      <w:r>
        <w:rPr>
          <w:b/>
        </w:rPr>
        <w:t xml:space="preserve">RF-TEC-05 · Documentado. </w:t>
      </w:r>
      <w:r>
        <w:t>Backups y restauración deben cubrir BD y almacenes documentales de forma coherente. Un backup creado no demuestra restauración válida: se necesita ensayo sobre copia. No cerrar aplicaciones del usuario ni modificar bases originales por inferencia del nuevo modelo.</w:t>
      </w:r>
    </w:p>
    <w:p>
      <w:pPr>
        <w:widowControl/>
      </w:pPr>
      <w:r>
        <w:rPr>
          <w:b/>
        </w:rPr>
        <w:t xml:space="preserve">RF-TEC-06 · Acordado. </w:t>
      </w:r>
      <w:r>
        <w:t>Entrega manual con versión inédita, ruta permanente, rama/commit/configuración e InformationalVersion &lt;producto&gt;-&lt;rama&gt;.&lt;secuencia&gt;. La etiqueta debe ser visible. Validar metadatos del binario sin abrirlo solo para leer el caption. No confundir build interno con entrega al usuario.</w:t>
      </w:r>
    </w:p>
    <w:p>
      <w:pPr>
        <w:widowControl/>
      </w:pPr>
      <w:r>
        <w:rPr>
          <w:b/>
        </w:rPr>
        <w:t xml:space="preserve">RF-TEC-07 · Acordado. </w:t>
      </w:r>
      <w:r>
        <w:t>Compilar solución completa y pruebas relacionadas; verificar dependencia nativa VeriFactu restaurada antes de declarar compilación válida. Mantener casos unitarios de cálculo, numeración, rectificaciones, calendarios, conversión fiscal, idempotencia y reversión. Referencias de mocks no prueban AEAT/SMTP reales.</w:t>
      </w:r>
    </w:p>
    <w:p>
      <w:pPr>
        <w:widowControl/>
      </w:pPr>
      <w:r>
        <w:rPr>
          <w:b/>
        </w:rPr>
        <w:t xml:space="preserve">RF-TEC-08 · Propuesto. </w:t>
      </w:r>
      <w:r>
        <w:t>En el proyecto nuevo usar dependencias de proyectos/paquetes versionadas y contratos estables, evitando copiar árboles de fuentes de cada módulo dentro del ejecutable. No convertir el mecanismo provisional de integración de .10 en arquitectura definitiva.</w:t>
      </w:r>
    </w:p>
    <w:p>
      <w:pPr>
        <w:pStyle w:val="Heading1"/>
      </w:pPr>
      <w:r>
        <w:t>28 Estado de partida y deuda que no debe convertirse en requisito</w:t>
      </w:r>
    </w:p>
    <w:p>
      <w:pPr>
        <w:widowControl/>
      </w:pPr>
      <w:r>
        <w:t>El estado siguiente se basa en contratos y entregas disponibles, no en una auditoría de ejecución de todas las ramas el 3 de octubre.</w:t>
      </w:r>
    </w:p>
    <w:p>
      <w:pPr>
        <w:pStyle w:val="ListBullet"/>
        <w:widowControl/>
      </w:pPr>
      <w:r>
        <w:t>Acceso WPF y contenedor: prototipo integrado con datos de pruebas. No equivale a cierre de todos los permisos administrativos ni ciclo de sesión de producción.</w:t>
      </w:r>
    </w:p>
    <w:p>
      <w:pPr>
        <w:pStyle w:val="ListBullet"/>
        <w:widowControl/>
      </w:pPr>
      <w:r>
        <w:t>Terceros: consulta y edición real, contactos libres/relaciones, perfiles, mejoras de tamaño y preparación de correo integradas en .10. Los módulos alojados no están todos operativos.</w:t>
      </w:r>
    </w:p>
    <w:p>
      <w:pPr>
        <w:pStyle w:val="ListBullet"/>
        <w:widowControl/>
      </w:pPr>
      <w:r>
        <w:t>Norma 43: pantalla integrada para consulta; importación/reversión de su motor no quedan acreditadas como disponibles desde ese contenedor.</w:t>
      </w:r>
    </w:p>
    <w:p>
      <w:pPr>
        <w:pStyle w:val="ListBullet"/>
        <w:widowControl/>
      </w:pPr>
      <w:r>
        <w:t>Configuración WPF: proveedores y mantenimiento integrados con límites de contexto/propiedad todavía por resolver.</w:t>
      </w:r>
    </w:p>
    <w:p>
      <w:pPr>
        <w:pStyle w:val="ListBullet"/>
        <w:widowControl/>
      </w:pPr>
      <w:r>
        <w:t>Correo WPF: preparar, cancelar y devolver borrador en memoria. Sin SMTP real desde ese compositor, sin cola saliente completa ni persistencia de borradores.</w:t>
      </w:r>
    </w:p>
    <w:p>
      <w:pPr>
        <w:pStyle w:val="ListBullet"/>
        <w:widowControl/>
      </w:pPr>
      <w:r>
        <w:t>Facturación/VeriFactu/programaciones: motores y pruebas en ramas, con UI WPF en desarrollos separados. No asumir que todo está integrado en el EXE del contenedor.</w:t>
      </w:r>
    </w:p>
    <w:p>
      <w:pPr>
        <w:pStyle w:val="ListBullet"/>
        <w:widowControl/>
      </w:pPr>
      <w:r>
        <w:t>Cuentas/asientos/gestor/modelos/nóminas/activos/reporting: avances heterogéneos; contratos describen cobertura parcial y no certifican una aplicación final coherente.</w:t>
      </w:r>
    </w:p>
    <w:p>
      <w:pPr>
        <w:pStyle w:val="ListBullet"/>
        <w:widowControl/>
      </w:pPr>
      <w:r>
        <w:t>Documentos: contrato inicial, sin implementación integral acreditada.</w:t>
      </w:r>
    </w:p>
    <w:p>
      <w:pPr>
        <w:pStyle w:val="ListBullet"/>
        <w:widowControl/>
      </w:pPr>
      <w:r>
        <w:t>Actualizador: maestra y migraciones ensayadas; la maestra y la BD de pruebas tienen contratos distintos.</w:t>
      </w:r>
    </w:p>
    <w:p>
      <w:pPr>
        <w:pStyle w:val="ListBullet"/>
        <w:widowControl/>
      </w:pPr>
      <w:r>
        <w:t>Migradores: protocolos/mapas parciales; no hay evidencia de una migración ERP integral terminada.</w:t>
      </w:r>
    </w:p>
    <w:p>
      <w:pPr>
        <w:widowControl/>
      </w:pPr>
      <w:r>
        <w:t>Referencia de validación histórica: entrega integrada 1.21.0-integracion-proconta-20260822.10, Debug x64, sobre rama de integración y fuentes locales pendientes de commit. El commit por sí solo no reproduce el ejecutable. Esta entrega documental no recompila ni recertifica sus pruebas.</w:t>
      </w:r>
    </w:p>
    <w:p>
      <w:pPr>
        <w:widowControl/>
      </w:pPr>
      <w:r>
        <w:t>No heredar: banderas especiales para habilitar edición solo en ProConta.accdb, banners técnicos permanentes, correo booleano, permisos únicamente visuales, mezcla de sociedades, listados limitados presentados como completos, tablas ausentes tratadas como vacías, SQL Max+1 sin protección, duplicación de motores o importadores que fusionan por NIF.</w:t>
      </w:r>
    </w:p>
    <w:p>
      <w:pPr>
        <w:pStyle w:val="Heading1"/>
      </w:pPr>
      <w:r>
        <w:t>29 Registro de decisiones abiertas</w:t>
      </w:r>
    </w:p>
    <w:p>
      <w:pPr>
        <w:widowControl/>
      </w:pPr>
      <w:r>
        <w:rPr>
          <w:b/>
        </w:rPr>
        <w:t xml:space="preserve">P-01 · BD de arranque: </w:t>
      </w:r>
      <w:r>
        <w:t>identificar archivo maestro definitivo, versión, hash, catálogos semilla y contrato de longitudes. Resolver explícitamente Email150/254 y diferencias de índices. Responsable funcional de decisión: usuario y Actualizador con DAT-TERCEROS.</w:t>
      </w:r>
    </w:p>
    <w:p>
      <w:pPr>
        <w:widowControl/>
      </w:pPr>
      <w:r>
        <w:rPr>
          <w:b/>
        </w:rPr>
        <w:t xml:space="preserve">P-02 · Organización: </w:t>
      </w:r>
      <w:r>
        <w:t>asignar propietario de Sociedades/Ejercicios, formas de pago y geografía; delimitar quién publica sus APIs y proveedores CFG-MANT.</w:t>
      </w:r>
    </w:p>
    <w:p>
      <w:pPr>
        <w:widowControl/>
      </w:pPr>
      <w:r>
        <w:rPr>
          <w:b/>
        </w:rPr>
        <w:t xml:space="preserve">P-03 · Seguridad: </w:t>
      </w:r>
      <w:r>
        <w:t>materializar ámbitos y combinación de grupos; reconciliar restricciones históricas con ámbito vacío permisivo; administración, arranque inicial, expiración y auditoría.</w:t>
      </w:r>
    </w:p>
    <w:p>
      <w:pPr>
        <w:widowControl/>
      </w:pPr>
      <w:r>
        <w:rPr>
          <w:b/>
        </w:rPr>
        <w:t xml:space="preserve">P-04 · Terceros: </w:t>
      </w:r>
      <w:r>
        <w:t>modelo Proveedor/Acreedor, cuentas obligatorias, contrato geográfico, guardado inmediato de perfiles frente a guardado conjunto; controles de concurrencia de ficha.</w:t>
      </w:r>
    </w:p>
    <w:p>
      <w:pPr>
        <w:widowControl/>
      </w:pPr>
      <w:r>
        <w:rPr>
          <w:b/>
        </w:rPr>
        <w:t xml:space="preserve">P-05 · Facturación: </w:t>
      </w:r>
      <w:r>
        <w:t>ratificar política actual de retorno a borrador ante consulta AEAT, rectificación 1:1 y límites fiscales frente a biblioteca/normativa vigente. Definir cuál es la implementación canónica cuando las ramas difieren.</w:t>
      </w:r>
    </w:p>
    <w:p>
      <w:pPr>
        <w:widowControl/>
      </w:pPr>
      <w:r>
        <w:rPr>
          <w:b/>
        </w:rPr>
        <w:t xml:space="preserve">P-06 · Contratos/Conceptos: </w:t>
      </w:r>
      <w:r>
        <w:t>propiedad, ámbito, requisitos no inmobiliarios, catálogo completo y fórmulas IPC/IRAV validadas.</w:t>
      </w:r>
    </w:p>
    <w:p>
      <w:pPr>
        <w:widowControl/>
      </w:pPr>
      <w:r>
        <w:rPr>
          <w:b/>
        </w:rPr>
        <w:t xml:space="preserve">P-07 · Reservas: </w:t>
      </w:r>
      <w:r>
        <w:t>destinatario, fechas/mes, divisas/cancelaciones y supuesto tributario. No activar la generación no resuelta.</w:t>
      </w:r>
    </w:p>
    <w:p>
      <w:pPr>
        <w:widowControl/>
      </w:pPr>
      <w:r>
        <w:rPr>
          <w:b/>
        </w:rPr>
        <w:t xml:space="preserve">P-08 · Compras: </w:t>
      </w:r>
      <w:r>
        <w:t>corpus esperado, reglas de contabilización/revisión y alcance de documentos múltiples; contrastar decisiones posteriores del hilo histórico de Compras.</w:t>
      </w:r>
    </w:p>
    <w:p>
      <w:pPr>
        <w:widowControl/>
      </w:pPr>
      <w:r>
        <w:rPr>
          <w:b/>
        </w:rPr>
        <w:t xml:space="preserve">P-09 · Contabilidad: </w:t>
      </w:r>
      <w:r>
        <w:t>publicar catálogo completo de mayor/balances, restricciones por períodos presentados, política de reparación/reversión y modelos fiscales realmente cubiertos.</w:t>
      </w:r>
    </w:p>
    <w:p>
      <w:pPr>
        <w:widowControl/>
      </w:pPr>
      <w:r>
        <w:rPr>
          <w:b/>
        </w:rPr>
        <w:t xml:space="preserve">P-10 · Tesorería: </w:t>
      </w:r>
      <w:r>
        <w:t>cobros, pagos, remesas, vencimientos y conciliación no delimitados por tener N43.</w:t>
      </w:r>
    </w:p>
    <w:p>
      <w:pPr>
        <w:widowControl/>
      </w:pPr>
      <w:r>
        <w:rPr>
          <w:b/>
        </w:rPr>
        <w:t xml:space="preserve">P-11 · Correo: </w:t>
      </w:r>
      <w:r>
        <w:t>protocolo entrante, gramática de comandos, cola saliente, certeza por destinatario, Message-ID de reintento, borradores durables, pausa, entrega/rebote y tratamiento de secreto temporal ante incertidumbre.</w:t>
      </w:r>
    </w:p>
    <w:p>
      <w:pPr>
        <w:widowControl/>
      </w:pPr>
      <w:r>
        <w:rPr>
          <w:b/>
        </w:rPr>
        <w:t xml:space="preserve">P-12 · Documentos: </w:t>
      </w:r>
      <w:r>
        <w:t>sociedad y versiones, tablas N:M definitivas, política de raíz entre equipos, retención, límites y relación con adjuntos históricos. Ruta relativa y no migrar antiguos ya están decididos.</w:t>
      </w:r>
    </w:p>
    <w:p>
      <w:pPr>
        <w:widowControl/>
      </w:pPr>
      <w:r>
        <w:rPr>
          <w:b/>
        </w:rPr>
        <w:t xml:space="preserve">P-13 · Implantación: </w:t>
      </w:r>
      <w:r>
        <w:t>cobertura ERP/ContaSol, mapas pendientes, ficheros de prueba y criterios de corte. No inferir descarte de tablas sin propietario.</w:t>
      </w:r>
    </w:p>
    <w:p>
      <w:pPr>
        <w:widowControl/>
      </w:pPr>
      <w:r>
        <w:rPr>
          <w:b/>
        </w:rPr>
        <w:t xml:space="preserve">P-14 · Operación: </w:t>
      </w:r>
      <w:r>
        <w:t>instalación ACE x64, actualizaciones, backups/restauración, volúmenes objetivo y presupuestos de rendimiento medidos.</w:t>
      </w:r>
    </w:p>
    <w:p>
      <w:pPr>
        <w:widowControl/>
      </w:pPr>
      <w:r>
        <w:rPr>
          <w:b/>
        </w:rPr>
        <w:t xml:space="preserve">P-15 · Asistente IA: </w:t>
      </w:r>
      <w:r>
        <w:t>contrato funcional, herramientas, datos que salen del equipo, coste, modelo y autorización humana de propuestas.</w:t>
      </w:r>
    </w:p>
    <w:p>
      <w:pPr>
        <w:widowControl/>
      </w:pPr>
      <w:r>
        <w:t>Estas preguntas no requieren resolverse todas antes de empezar. Se bloquea solo la funcionalidad dependiente de la decisión; el resto puede desarrollarse en incrementos verificables.</w:t>
      </w:r>
    </w:p>
    <w:p>
      <w:pPr>
        <w:pStyle w:val="Heading1"/>
      </w:pPr>
      <w:r>
        <w:t>30 Orden de reconstrucción y aceptación global</w:t>
      </w:r>
    </w:p>
    <w:p>
      <w:pPr>
        <w:widowControl/>
      </w:pPr>
      <w:r>
        <w:t>Secuencia recomendada, no una ampliación de alcance:</w:t>
      </w:r>
    </w:p>
    <w:p>
      <w:pPr>
        <w:widowControl/>
      </w:pPr>
      <w:r>
        <w:t>1. Inventariar el paquete adjunto, validar hashes y elegir contrato maestro. Elaborar matriz de propietario por tabla y API, registrar conflictos sin cambiar la original.</w:t>
      </w:r>
    </w:p>
    <w:p>
      <w:pPr>
        <w:widowControl/>
      </w:pPr>
      <w:r>
        <w:t>2. Construir configuración, diagnóstico de esquema, base visual, acceso y contenedor. Verificar cuatro fases y política de permisos.</w:t>
      </w:r>
    </w:p>
    <w:p>
      <w:pPr>
        <w:widowControl/>
      </w:pPr>
      <w:r>
        <w:t>3. Terceros y mantenimiento mediante proveedores; demostrar un recorrido real con Guardar/Descartar, búsqueda modal y cambio de contexto.</w:t>
      </w:r>
    </w:p>
    <w:p>
      <w:pPr>
        <w:widowControl/>
      </w:pPr>
      <w:r>
        <w:t>4. Facturación manual, conceptos mínimos, numeración, instantáneas, VeriFactu de pruebas, PDF y recuperación. Este es el primer recorrido crítico para retirar el ERP.</w:t>
      </w:r>
    </w:p>
    <w:p>
      <w:pPr>
        <w:widowControl/>
      </w:pPr>
      <w:r>
        <w:t>5. Programaciones/contratos y preparación de correo; cola saliente si se requiere envío masivo. No vender el compositor aislado como solución completa de envío.</w:t>
      </w:r>
    </w:p>
    <w:p>
      <w:pPr>
        <w:widowControl/>
      </w:pPr>
      <w:r>
        <w:t>6. Migración ERP ensayada y conciliada para el corte, y operación segura en producción cuando se haya validado fiscalidad, licencias y recuperación.</w:t>
      </w:r>
    </w:p>
    <w:p>
      <w:pPr>
        <w:widowControl/>
      </w:pPr>
      <w:r>
        <w:t>7. Compras, cuentas/asientos, nóminas, N43, mayor/balances y procesos contables por entregas independientes; Importador ContaSol para implantaciones adicionales.</w:t>
      </w:r>
    </w:p>
    <w:p>
      <w:pPr>
        <w:widowControl/>
      </w:pPr>
      <w:r>
        <w:t>8. Completar Documentos, reporting/modelos, activos, gráficos y asistencia conforme a prioridad y dependencias concretas.</w:t>
      </w:r>
    </w:p>
    <w:p>
      <w:pPr>
        <w:widowControl/>
      </w:pPr>
      <w:r>
        <w:t>La secuencia no obliga a retrasar componentes transversales imprescindibles, como versiones documentales para adjuntos o cuentas para facturación contable. El nuevo modelo propondrá incrementos pequeños con contratos y pruebas, sin generar todo el código de una vez.</w:t>
      </w:r>
    </w:p>
    <w:p>
      <w:pPr>
        <w:widowControl/>
      </w:pPr>
      <w:r>
        <w:t>Criterio de terminado por módulo: requisitos trazados; pendientes relevantes resueltos o excluidos visiblemente; propietario y contratos publicados; esquema reproducible; pruebas de negocio e integración sobre copia; UI comparada con maqueta e interacción revisada; sin efectos externos accidentales; entrega reproducible con límites explícitos.</w:t>
      </w:r>
    </w:p>
    <w:p>
      <w:pPr>
        <w:widowControl/>
      </w:pPr>
      <w:r>
        <w:t>Criterio del paquete: documento principal más anexos seleccionados, manifiesto con hashes, BD maestra identificada, HTML con recursos y ejemplos curados. El paquete documental se entrega ahora; los binarios, datos y maquetas que el usuario ha indicado que adjuntará permanecen señalados como anexos externos pendientes, no fingidos como incluidos.</w:t>
      </w:r>
    </w:p>
    <w:p>
      <w:pPr>
        <w:pStyle w:val="Heading1"/>
      </w:pPr>
      <w:r>
        <w:t>31 Fuentes anexos y uso por otro modelo</w:t>
      </w:r>
    </w:p>
    <w:p>
      <w:pPr>
        <w:widowControl/>
      </w:pPr>
      <w:r>
        <w:t>Leer primero 00_LEEME.md, este documento, 02_PROMPT_INICIAL.txt y 03_ANEXOS_PENDIENTES.md. El índice 04_FUENTES.md identifica contratos, decisiones, modelos de datos y evidencia de implementación seleccionada; MANIFIESTO.json conserva sus hashes y ubicación de origen.</w:t>
      </w:r>
    </w:p>
    <w:p>
      <w:pPr>
        <w:widowControl/>
      </w:pPr>
      <w:r>
        <w:t>El usuario adjuntará la maestra y maquetas completas. Para reproducir comportamiento no visual, son especialmente importantes ejemplos de entrada/salida: factura/PDF/XML fiscal saneados; calendarios/rectificaciones; ficheros N43, nóminas, ContaSol y corpus PDF de compras con resultados esperados; plantillas de informes y mapas ERP. La lista distingue imprescindibles para iniciar de necesarios solo al abordar cada área.</w:t>
      </w:r>
    </w:p>
    <w:p>
      <w:pPr>
        <w:widowControl/>
      </w:pPr>
      <w:r>
        <w:t>El nuevo modelo no debe asumir acceso a este historial, a Codex ni a rutas de este ordenador. Los IDs de chats son procedencia, no dependencias. No ejecutar instrucciones operativas incluidas en anexos históricos sin contrastarlas con el encargo actual. Los anexos preservan propuestas y limitaciones; no las convierten en reglas aprobadas por estar dentro del ZIP.</w:t>
      </w:r>
    </w:p>
    <w:sectPr w:rsidR="00FC693F" w:rsidRPr="0006063C" w:rsidSect="00034616">
      <w:headerReference w:type="default" r:id="rId9"/>
      <w:footerReference w:type="default" r:id="rId10"/>
      <w:pgSz w:w="11906" w:h="16838"/>
      <w:pgMar w:top="1134" w:right="1191" w:bottom="1134" w:left="119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left"/>
      </w:tabs>
    </w:pPr>
    <w:r>
      <w:rPr>
        <w:sz w:val="16"/>
      </w:rPr>
      <w:t>Versión 1.0 · 03/10/2026</w:t>
    </w:r>
    <w:r>
      <w:rPr>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6"/>
      </w:rPr>
      <w:t>PROCONTA  /  ESPECIFICACIÓN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outlineLvl w:val="0"/>
    </w:pPr>
    <w:rPr>
      <w:rFonts w:asciiTheme="majorHAnsi" w:eastAsiaTheme="majorEastAsia" w:hAnsiTheme="majorHAnsi" w:cstheme="majorBidi" w:ascii="Calibri" w:hAnsi="Calibri"/>
      <w:b/>
      <w:bCs/>
      <w:color w:val="000000"/>
      <w:sz w:val="36"/>
      <w:szCs w:val="28"/>
      <w:lang w:val="es-E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5"/>
      <w:szCs w:val="26"/>
      <w:lang w:val="es-ES"/>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lang w:val="es-E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60"/>
      <w:szCs w:val="52"/>
      <w:lang w:val="es-E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ProConta — Especificación funcional y paquete de continuidad</dc:title>
  <dc:subject>Requisitos, contratos, decisiones pendientes y anexos para reconstrucción</dc:subject>
  <dc:creator>ProConta</dc:creator>
  <cp:keywords>ProConta WPF Access especificación traspaso</cp:keywords>
  <dc:description>generated by python-docx</dc:description>
  <cp:lastModifiedBy/>
  <cp:revision>1</cp:revision>
  <dcterms:created xsi:type="dcterms:W3CDTF">2013-12-23T23:15:00Z</dcterms:created>
  <dcterms:modified xsi:type="dcterms:W3CDTF">2013-12-23T23:15:00Z</dcterms:modified>
  <cp:category/>
</cp:coreProperties>
</file>