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8721" w14:textId="77777777" w:rsidR="00FD74CE" w:rsidRDefault="00FD74CE" w:rsidP="00FD74CE">
      <w:pPr>
        <w:widowControl w:val="0"/>
        <w:spacing w:line="360" w:lineRule="exact"/>
      </w:pPr>
      <w:r>
        <w:t>complementarity publicly; and finally, to provide explanation.</w:t>
      </w:r>
      <w:bookmarkStart w:id="0" w:name="_Ref121221279"/>
      <w:r w:rsidRPr="00E2337E">
        <w:rPr>
          <w:rStyle w:val="FootnoteReference"/>
        </w:rPr>
        <w:footnoteReference w:id="1"/>
      </w:r>
      <w:bookmarkEnd w:id="0"/>
      <w:r>
        <w:t xml:space="preserve"> What spans these various aspirations is an important communicative function shaping how it would like its interlocutors, observers, funders, victims, defendants, and the international community more generally to view it and work with it. It is this communicative bridge spanning these aspirations of transparency that I examine in this dissertation in order to consider how these performances of transparency may ultimately work in tension with some of the Court’s other stated objectives in the earliest stages of proceedings. In so doing, I draw on Critical Transparency Studies (CTS), strategic expressivism, and myth.</w:t>
      </w:r>
    </w:p>
    <w:p w14:paraId="538EDB66" w14:textId="77777777" w:rsidR="00FD74CE" w:rsidRDefault="00FD74CE" w:rsidP="00FD74CE">
      <w:pPr>
        <w:spacing w:line="360" w:lineRule="exact"/>
        <w:rPr>
          <w:rFonts w:cstheme="minorHAnsi"/>
        </w:rPr>
      </w:pPr>
      <w:r>
        <w:t>CTS is an emergent field of study which views transparency as an almost magical concept characterised by semantic vagueness, normative appeal, and an implication of consensus.</w:t>
      </w:r>
      <w:r w:rsidRPr="00E2337E">
        <w:rPr>
          <w:rStyle w:val="FootnoteReference"/>
        </w:rPr>
        <w:footnoteReference w:id="2"/>
      </w:r>
      <w:r>
        <w:t xml:space="preserve"> CTS calls transparency into question as one of the most important tools of democracy and as a demand that spans “fields as diverse as corporate and public administration, finance, scientific research, sports, technology, media, and healthcare.”</w:t>
      </w:r>
      <w:r w:rsidRPr="00E2337E">
        <w:rPr>
          <w:rStyle w:val="FootnoteReference"/>
        </w:rPr>
        <w:footnoteReference w:id="3"/>
      </w:r>
      <w:r>
        <w:t xml:space="preserve"> Part of the appeal of CTS in this project is the accepted starting point that one need not provide a clear definition of transparency, indeed this is not entirely possible with the concept lacking a stable semantic core, but instead allows one to unpack how it is strategically used and functions as a floating signifier to serve various ends. While </w:t>
      </w:r>
      <w:r w:rsidRPr="00E9093A">
        <w:rPr>
          <w:rFonts w:cstheme="minorHAnsi"/>
        </w:rPr>
        <w:t>the turn toward transparency has been made in international law,</w:t>
      </w:r>
      <w:r w:rsidRPr="00E2337E">
        <w:rPr>
          <w:rStyle w:val="FootnoteReference"/>
        </w:rPr>
        <w:footnoteReference w:id="4"/>
      </w:r>
      <w:r w:rsidRPr="00E9093A">
        <w:rPr>
          <w:rFonts w:cstheme="minorHAnsi"/>
        </w:rPr>
        <w:t xml:space="preserve"> and calls for it at the Court in particular are increasingly made out of a variety of aspirations,</w:t>
      </w:r>
      <w:r w:rsidRPr="00E2337E">
        <w:rPr>
          <w:rStyle w:val="FootnoteReference"/>
        </w:rPr>
        <w:footnoteReference w:id="5"/>
      </w:r>
      <w:r w:rsidRPr="00E9093A">
        <w:rPr>
          <w:rFonts w:cstheme="minorHAnsi"/>
        </w:rPr>
        <w:t xml:space="preserve"> there is not yet much to draw on in terms of concrete analysis of what transparency may mean and </w:t>
      </w:r>
      <w:r w:rsidRPr="00E9093A">
        <w:rPr>
          <w:rFonts w:cstheme="minorHAnsi"/>
          <w:i/>
          <w:iCs/>
        </w:rPr>
        <w:t>do</w:t>
      </w:r>
      <w:r w:rsidRPr="00E9093A">
        <w:rPr>
          <w:rFonts w:cstheme="minorHAnsi"/>
        </w:rPr>
        <w:t xml:space="preserve"> in ICL and at the ICC in particular. </w:t>
      </w:r>
      <w:r>
        <w:rPr>
          <w:rFonts w:cstheme="minorHAnsi"/>
        </w:rPr>
        <w:t xml:space="preserve">This project attempts to fill that gap by examining what I </w:t>
      </w:r>
      <w:r w:rsidRPr="00E9093A">
        <w:rPr>
          <w:rFonts w:cstheme="minorHAnsi"/>
        </w:rPr>
        <w:t xml:space="preserve">refer to ‘practices’ of transparency. In particular, I focus on how the OTP and the Court more generally communicate about their </w:t>
      </w:r>
      <w:r w:rsidRPr="00E9093A">
        <w:rPr>
          <w:rFonts w:cstheme="minorHAnsi"/>
        </w:rPr>
        <w:lastRenderedPageBreak/>
        <w:t>work, expectations and challenges. In this way, I understand transparency as an activity or practice of disclosure.</w:t>
      </w:r>
    </w:p>
    <w:p w14:paraId="2A83ACCD" w14:textId="77777777" w:rsidR="00FD74CE" w:rsidRDefault="00FD74CE" w:rsidP="00FD74CE">
      <w:pPr>
        <w:widowControl w:val="0"/>
        <w:spacing w:line="360" w:lineRule="exact"/>
        <w:rPr>
          <w:rFonts w:cstheme="minorHAnsi"/>
        </w:rPr>
      </w:pPr>
      <w:r w:rsidRPr="00E9093A">
        <w:rPr>
          <w:rFonts w:cstheme="minorHAnsi"/>
        </w:rPr>
        <w:t xml:space="preserve">In using the language of ‘practice’ I </w:t>
      </w:r>
      <w:r>
        <w:rPr>
          <w:rFonts w:cstheme="minorHAnsi"/>
        </w:rPr>
        <w:t>take</w:t>
      </w:r>
      <w:r w:rsidRPr="00E9093A">
        <w:rPr>
          <w:rFonts w:cstheme="minorHAnsi"/>
        </w:rPr>
        <w:t xml:space="preserve"> transparency as an ongoing process or effort in disclosing information with its attendant choices, mediums, indicators and implications. </w:t>
      </w:r>
      <w:r>
        <w:rPr>
          <w:rFonts w:cstheme="minorHAnsi"/>
        </w:rPr>
        <w:t xml:space="preserve">The language of practice also allows me to narrow the focus to the performativity of these communicative activities and in particular how they promote and </w:t>
      </w:r>
      <w:r w:rsidRPr="008B486B">
        <w:rPr>
          <w:rFonts w:cstheme="minorHAnsi"/>
        </w:rPr>
        <w:t>enact certain ideals and expectations (deterrence, complementarity, cooperation, transparency, etc.)</w:t>
      </w:r>
      <w:r>
        <w:rPr>
          <w:rFonts w:cstheme="minorHAnsi"/>
        </w:rPr>
        <w:t xml:space="preserve">. For example, the OTP </w:t>
      </w:r>
      <w:r w:rsidRPr="00E9093A">
        <w:rPr>
          <w:rFonts w:cstheme="minorHAnsi"/>
        </w:rPr>
        <w:t>talks about its work</w:t>
      </w:r>
      <w:r>
        <w:rPr>
          <w:rFonts w:cstheme="minorHAnsi"/>
        </w:rPr>
        <w:t xml:space="preserve"> using a particular vocabulary, promising</w:t>
      </w:r>
      <w:r w:rsidRPr="00E9093A">
        <w:rPr>
          <w:rFonts w:cstheme="minorHAnsi"/>
        </w:rPr>
        <w:t xml:space="preserve"> “an interesting, transparent and serious business model” </w:t>
      </w:r>
      <w:r>
        <w:rPr>
          <w:rFonts w:cstheme="minorHAnsi"/>
        </w:rPr>
        <w:t xml:space="preserve">which </w:t>
      </w:r>
      <w:r w:rsidRPr="00E9093A">
        <w:rPr>
          <w:rFonts w:cstheme="minorHAnsi"/>
        </w:rPr>
        <w:t>is assumed to be crucial for keeping “national governments willing to finance and support international justice”.</w:t>
      </w:r>
      <w:r w:rsidRPr="00E2337E">
        <w:rPr>
          <w:rStyle w:val="FootnoteReference"/>
        </w:rPr>
        <w:footnoteReference w:id="6"/>
      </w:r>
      <w:r w:rsidRPr="00E9093A">
        <w:rPr>
          <w:rFonts w:cstheme="minorHAnsi"/>
        </w:rPr>
        <w:t xml:space="preserve"> It is this language of ‘business models’ and their attendant indicators and means of evaluation in which we recognise the demands of managerialism </w:t>
      </w:r>
      <w:r>
        <w:rPr>
          <w:rFonts w:cstheme="minorHAnsi"/>
        </w:rPr>
        <w:t>and which result in efforts to ‘sell’ the OTP’s work to its funders,</w:t>
      </w:r>
      <w:r w:rsidRPr="00E2337E">
        <w:rPr>
          <w:rStyle w:val="FootnoteReference"/>
        </w:rPr>
        <w:footnoteReference w:id="7"/>
      </w:r>
      <w:r>
        <w:rPr>
          <w:rFonts w:cstheme="minorHAnsi"/>
        </w:rPr>
        <w:t xml:space="preserve"> </w:t>
      </w:r>
      <w:r w:rsidRPr="00E9093A">
        <w:rPr>
          <w:rFonts w:cstheme="minorHAnsi"/>
        </w:rPr>
        <w:t>but the underlying question still remains</w:t>
      </w:r>
      <w:r>
        <w:rPr>
          <w:rFonts w:cstheme="minorHAnsi"/>
        </w:rPr>
        <w:t xml:space="preserve"> just as Clements posed: “</w:t>
      </w:r>
      <w:r>
        <w:rPr>
          <w:color w:val="000000"/>
        </w:rPr>
        <w:t>[w]</w:t>
      </w:r>
      <w:proofErr w:type="spellStart"/>
      <w:r w:rsidRPr="00A07DCA">
        <w:rPr>
          <w:color w:val="000000"/>
        </w:rPr>
        <w:t>hy</w:t>
      </w:r>
      <w:proofErr w:type="spellEnd"/>
      <w:r w:rsidRPr="00A07DCA">
        <w:rPr>
          <w:color w:val="000000"/>
        </w:rPr>
        <w:t>, at a time when efforts towards ‘global justice’ encompass such a broad range of agendas and communities, do so many see the answer to injustice in the restructuring of an international criminal tribunal?”</w:t>
      </w:r>
      <w:r w:rsidRPr="00E2337E">
        <w:rPr>
          <w:rStyle w:val="FootnoteReference"/>
        </w:rPr>
        <w:footnoteReference w:id="8"/>
      </w:r>
      <w:r w:rsidRPr="00A07DCA">
        <w:rPr>
          <w:color w:val="000000"/>
        </w:rPr>
        <w:t xml:space="preserve"> </w:t>
      </w:r>
    </w:p>
    <w:p w14:paraId="1888F8A9" w14:textId="77777777" w:rsidR="00FD74CE" w:rsidRDefault="00FD74CE" w:rsidP="00FD74CE">
      <w:r>
        <w:t>In order to begin to understand how these practices communicate about deterrence and complementarity I draw on strategic expressivism as developed by Barrie Sander.</w:t>
      </w:r>
      <w:r w:rsidRPr="00E2337E">
        <w:rPr>
          <w:rStyle w:val="FootnoteReference"/>
        </w:rPr>
        <w:footnoteReference w:id="9"/>
      </w:r>
      <w:r>
        <w:t xml:space="preserve"> S</w:t>
      </w:r>
      <w:r w:rsidRPr="004120AD">
        <w:t>trategic expressivism asks questions about the productive power of these seemingly insignificant, secondary practices of communication as well as about the promise of concepts like transparency more generally for the Court</w:t>
      </w:r>
      <w:r>
        <w:t>. Strategic expressivism, according to Sander, is a three-pronged approach aimed at uncovering how certain actors make use of the expressive power of international criminal justice toward their own strategic social or political ends.</w:t>
      </w:r>
      <w:r w:rsidRPr="00E2337E">
        <w:rPr>
          <w:rStyle w:val="FootnoteReference"/>
        </w:rPr>
        <w:footnoteReference w:id="10"/>
      </w:r>
      <w:r>
        <w:t xml:space="preserve"> In this project I turn the approach primarily onto the Court itself, particularly the OTP, to look at how they create and propagate the expressive power of international criminal justice in the context of the ICC. Firstly, there is a struggle of vocabularies involved in trying to illuminate, in this project, the Court’s instrumental value. This can involve drawing out tensions between, for example, justice and peace or power and resistance</w:t>
      </w:r>
    </w:p>
    <w:sectPr w:rsidR="00FD74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3891" w14:textId="77777777" w:rsidR="00373AEA" w:rsidRDefault="00373AEA" w:rsidP="00FD74CE">
      <w:pPr>
        <w:spacing w:after="0" w:line="240" w:lineRule="auto"/>
      </w:pPr>
      <w:r>
        <w:separator/>
      </w:r>
    </w:p>
  </w:endnote>
  <w:endnote w:type="continuationSeparator" w:id="0">
    <w:p w14:paraId="7905133D" w14:textId="77777777" w:rsidR="00373AEA" w:rsidRDefault="00373AEA" w:rsidP="00FD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76BE" w14:textId="77777777" w:rsidR="00373AEA" w:rsidRDefault="00373AEA" w:rsidP="00FD74CE">
      <w:pPr>
        <w:spacing w:after="0" w:line="240" w:lineRule="auto"/>
      </w:pPr>
      <w:r>
        <w:separator/>
      </w:r>
    </w:p>
  </w:footnote>
  <w:footnote w:type="continuationSeparator" w:id="0">
    <w:p w14:paraId="75458C9D" w14:textId="77777777" w:rsidR="00373AEA" w:rsidRDefault="00373AEA" w:rsidP="00FD74CE">
      <w:pPr>
        <w:spacing w:after="0" w:line="240" w:lineRule="auto"/>
      </w:pPr>
      <w:r>
        <w:continuationSeparator/>
      </w:r>
    </w:p>
  </w:footnote>
  <w:footnote w:id="1">
    <w:p w14:paraId="2238D8AA" w14:textId="77777777" w:rsidR="00FD74CE" w:rsidRPr="006A0356" w:rsidRDefault="00FD74CE" w:rsidP="00FD74CE">
      <w:pPr>
        <w:pBdr>
          <w:top w:val="nil"/>
          <w:left w:val="nil"/>
          <w:bottom w:val="nil"/>
          <w:right w:val="nil"/>
          <w:between w:val="nil"/>
        </w:pBdr>
        <w:spacing w:after="0" w:line="240" w:lineRule="auto"/>
        <w:rPr>
          <w:color w:val="000000"/>
          <w:sz w:val="20"/>
          <w:szCs w:val="20"/>
        </w:rPr>
      </w:pPr>
      <w:r w:rsidRPr="00E2337E">
        <w:rPr>
          <w:rStyle w:val="FootnoteReference"/>
        </w:rPr>
        <w:footnoteRef/>
      </w:r>
      <w:r>
        <w:t xml:space="preserve"> </w:t>
      </w:r>
      <w:bookmarkStart w:id="1" w:name="_Hlk121220698"/>
      <w:r w:rsidRPr="006A0356">
        <w:rPr>
          <w:sz w:val="20"/>
          <w:szCs w:val="20"/>
        </w:rPr>
        <w:fldChar w:fldCharType="begin" w:fldLock="1"/>
      </w:r>
      <w:r>
        <w:rPr>
          <w:sz w:val="20"/>
          <w:szCs w:val="20"/>
        </w:rPr>
        <w:instrText>ADDIN CSL_CITATION {"citationItems":[{"id":"ITEM-1","itemData":{"author":[{"dropping-particle":"","family":"Rodríguez Pineda","given":"Ana Cristina","non-dropping-particle":"","parse-names":false,"suffix":""}],"chapter-number":"24","container-title":"Quality Control in Preliminary Examination, Vol. II","editor":[{"dropping-particle":"","family":"Bergsmo","given":"Morten","non-dropping-particle":"","parse-names":false,"suffix":""},{"dropping-particle":"","family":"Stahn","given":"Carsten","non-dropping-particle":"","parse-names":false,"suffix":""}],"id":"ITEM-1","issued":{"date-parts":[["2018"]]},"page":"321-393","publisher":"Torkel Opsahl Academic EPublisher","publisher-place":"Brussels","title":"Deterrence or Withdrawals? Consequences of Publicising Preliminary Examination Activities","type":"chapter"},"locator":"350-51","uris":["http://www.mendeley.com/documents/?uuid=a03f9cdd-94b7-4131-8621-5e210fbf3a0a"]}],"mendeley":{"formattedCitation":"Ana Cristina Rodríguez Pineda, “Deterrence or Withdrawals? Consequences of Publicising Preliminary Examination Activities,” in &lt;i&gt;Quality Control in Preliminary Examination, Vol. II&lt;/i&gt;, ed. Morten Bergsmo and Carsten Stahn (Brussels: Torkel Opsahl Academic EPublisher, 2018), 350–51.","manualFormatting":"Rodríguez Pineda, 350–51 offers a list of several ways that the OTP communicates to the public about its examinations. Though I have included nearly all of these practices in my research, the following are not considered: reports and statements to the UN and OTP Weekly Briefings Newsletters.","plainTextFormattedCitation":"Ana Cristina Rodríguez Pineda, “Deterrence or Withdrawals? Consequences of Publicising Preliminary Examination Activities,” in Quality Control in Preliminary Examination, Vol. II, ed. Morten Bergsmo and Carsten Stahn (Brussels: Torkel Opsahl Academic EPublisher, 2018), 350–51.","previouslyFormattedCitation":"Ana Cristina Rodríguez Pineda, “Deterrence or Withdrawals? Consequences of Publicising Preliminary Examination Activities,” in &lt;i&gt;Quality Control in Preliminary Examination, Vol. II&lt;/i&gt;, ed. Morten Bergsmo and Carsten Stahn (Brussels: Torkel Opsahl Academic EPublisher, 2018), 350–51."},"properties":{"noteIndex":40},"schema":"https://github.com/citation-style-language/schema/raw/master/csl-citation.json"}</w:instrText>
      </w:r>
      <w:r w:rsidRPr="006A0356">
        <w:rPr>
          <w:sz w:val="20"/>
          <w:szCs w:val="20"/>
        </w:rPr>
        <w:fldChar w:fldCharType="separate"/>
      </w:r>
      <w:r w:rsidRPr="006A0356">
        <w:rPr>
          <w:noProof/>
          <w:sz w:val="20"/>
          <w:szCs w:val="20"/>
        </w:rPr>
        <w:t xml:space="preserve">Rodríguez Pineda, 350–51 </w:t>
      </w:r>
      <w:r w:rsidRPr="006A0356">
        <w:rPr>
          <w:noProof/>
          <w:color w:val="000000"/>
          <w:sz w:val="20"/>
          <w:szCs w:val="20"/>
        </w:rPr>
        <w:t xml:space="preserve">offers a list of several ways that the OTP communicates to the public about its examinations. Though I have included nearly all of these practices in my research, the following are not considered: reports and statements to the UN </w:t>
      </w:r>
      <w:r w:rsidRPr="006A0356">
        <w:rPr>
          <w:noProof/>
          <w:sz w:val="20"/>
          <w:szCs w:val="20"/>
        </w:rPr>
        <w:t>and</w:t>
      </w:r>
      <w:r w:rsidRPr="006A0356">
        <w:rPr>
          <w:noProof/>
          <w:color w:val="000000"/>
          <w:sz w:val="20"/>
          <w:szCs w:val="20"/>
        </w:rPr>
        <w:t xml:space="preserve"> OTP Weekly Briefings Newsletters.</w:t>
      </w:r>
      <w:r w:rsidRPr="006A0356">
        <w:rPr>
          <w:sz w:val="20"/>
          <w:szCs w:val="20"/>
        </w:rPr>
        <w:fldChar w:fldCharType="end"/>
      </w:r>
      <w:r w:rsidRPr="006A0356">
        <w:rPr>
          <w:sz w:val="20"/>
          <w:szCs w:val="20"/>
        </w:rPr>
        <w:t xml:space="preserve"> </w:t>
      </w:r>
      <w:bookmarkEnd w:id="1"/>
    </w:p>
  </w:footnote>
  <w:footnote w:id="2">
    <w:p w14:paraId="79DCB291" w14:textId="77777777" w:rsidR="00FD74CE" w:rsidRPr="008E0E54" w:rsidRDefault="00FD74CE" w:rsidP="00FD74CE">
      <w:pPr>
        <w:pStyle w:val="FootnoteText"/>
        <w:rPr>
          <w:rFonts w:cstheme="minorHAnsi"/>
          <w:lang w:val="en-US"/>
        </w:rPr>
      </w:pPr>
      <w:r w:rsidRPr="00E2337E">
        <w:rPr>
          <w:rStyle w:val="FootnoteReference"/>
        </w:rPr>
        <w:footnoteRef/>
      </w:r>
      <w:r w:rsidRPr="008E0E54">
        <w:rPr>
          <w:rFonts w:cstheme="minorHAnsi"/>
        </w:rPr>
        <w:t xml:space="preserve"> </w:t>
      </w:r>
      <w:proofErr w:type="spellStart"/>
      <w:r w:rsidRPr="008E0E54">
        <w:rPr>
          <w:rFonts w:cstheme="minorHAnsi"/>
        </w:rPr>
        <w:t>Alloa</w:t>
      </w:r>
      <w:proofErr w:type="spellEnd"/>
      <w:r w:rsidRPr="008E0E54">
        <w:rPr>
          <w:rFonts w:cstheme="minorHAnsi"/>
        </w:rPr>
        <w:t xml:space="preserve"> in </w:t>
      </w:r>
      <w:r w:rsidRPr="008E0E54">
        <w:rPr>
          <w:rFonts w:cstheme="minorHAnsi"/>
        </w:rPr>
        <w:fldChar w:fldCharType="begin" w:fldLock="1"/>
      </w:r>
      <w:r>
        <w:rPr>
          <w:rFonts w:cstheme="minorHAnsi"/>
        </w:rPr>
        <w:instrText>ADDIN CSL_CITATION {"citationItems":[{"id":"ITEM-1","itemData":{"DOI":"10.1007/978-3-319-77161-8","ISBN":"978-3-319-77160-1","editor":[{"dropping-particle":"","family":"Alloa","given":"Emmanuel","non-dropping-particle":"","parse-names":false,"suffix":""},{"dropping-particle":"","family":"Thomä","given":"Dieter","non-dropping-particle":"","parse-names":false,"suffix":""}],"id":"ITEM-1","issued":{"date-parts":[["2018"]]},"publisher":"Palgrave Macmillan","title":"Transparency, Society and Subjectivity Critical Perspectives","type":"book"},"locator":"29","suppress-author":1,"uris":["http://www.mendeley.com/documents/?uuid=a6bf0065-9f21-3795-ab30-5775d819fe97"]}],"mendeley":{"formattedCitation":"&lt;i&gt;Transparency, Society and Subjectivity Critical Perspectives&lt;/i&gt;, 29.","manualFormatting":"Transparency, Society and Subjectivity Critical Perspectives, 29","plainTextFormattedCitation":"Transparency, Society and Subjectivity Critical Perspectives, 29.","previouslyFormattedCitation":"&lt;i&gt;Transparency, Society and Subjectivity Critical Perspectives&lt;/i&gt;, 29."},"properties":{"noteIndex":41},"schema":"https://github.com/citation-style-language/schema/raw/master/csl-citation.json"}</w:instrText>
      </w:r>
      <w:r w:rsidRPr="008E0E54">
        <w:rPr>
          <w:rFonts w:cstheme="minorHAnsi"/>
        </w:rPr>
        <w:fldChar w:fldCharType="separate"/>
      </w:r>
      <w:r w:rsidRPr="001B0AB2">
        <w:rPr>
          <w:rFonts w:cstheme="minorHAnsi"/>
          <w:i/>
          <w:noProof/>
        </w:rPr>
        <w:t>Transparency, Society and Subjectivity Critical Perspectives</w:t>
      </w:r>
      <w:r w:rsidRPr="001B0AB2">
        <w:rPr>
          <w:rFonts w:cstheme="minorHAnsi"/>
          <w:noProof/>
        </w:rPr>
        <w:t>, 29</w:t>
      </w:r>
      <w:r w:rsidRPr="008E0E54">
        <w:rPr>
          <w:rFonts w:cstheme="minorHAnsi"/>
        </w:rPr>
        <w:fldChar w:fldCharType="end"/>
      </w:r>
      <w:r w:rsidRPr="008E0E54">
        <w:rPr>
          <w:rFonts w:cstheme="minorHAnsi"/>
        </w:rPr>
        <w:t xml:space="preserve"> continues “transparency is held to be impartial, neutral, democratic and progressive. As such, it promises stability.” </w:t>
      </w:r>
    </w:p>
  </w:footnote>
  <w:footnote w:id="3">
    <w:p w14:paraId="22BB6973" w14:textId="77777777" w:rsidR="00FD74CE" w:rsidRPr="00576369" w:rsidRDefault="00FD74CE" w:rsidP="00FD74CE">
      <w:pPr>
        <w:pStyle w:val="FootnoteText"/>
        <w:rPr>
          <w:lang w:val="en-US"/>
        </w:rPr>
      </w:pPr>
      <w:r w:rsidRPr="00E2337E">
        <w:rPr>
          <w:rStyle w:val="FootnoteReference"/>
        </w:rPr>
        <w:footnoteRef/>
      </w:r>
      <w:r>
        <w:t xml:space="preserve"> </w:t>
      </w:r>
      <w:r>
        <w:fldChar w:fldCharType="begin" w:fldLock="1"/>
      </w:r>
      <w:r>
        <w:instrText>ADDIN CSL_CITATION {"citationItems":[{"id":"ITEM-1","itemData":{"DOI":"10.1007/978-3-319-77161-8","ISBN":"978-3-319-77160-1","editor":[{"dropping-particle":"","family":"Alloa","given":"Emmanuel","non-dropping-particle":"","parse-names":false,"suffix":""},{"dropping-particle":"","family":"Thomä","given":"Dieter","non-dropping-particle":"","parse-names":false,"suffix":""}],"id":"ITEM-1","issued":{"date-parts":[["2018"]]},"publisher":"Palgrave Macmillan","title":"Transparency, Society and Subjectivity Critical Perspectives","type":"book"},"locator":"2","uris":["http://www.mendeley.com/documents/?uuid=a6bf0065-9f21-3795-ab30-5775d819fe97"]}],"mendeley":{"formattedCitation":"Alloa and Thomä, 2.","plainTextFormattedCitation":"Alloa and Thomä, 2.","previouslyFormattedCitation":"Alloa and Thomä, 2."},"properties":{"noteIndex":42},"schema":"https://github.com/citation-style-language/schema/raw/master/csl-citation.json"}</w:instrText>
      </w:r>
      <w:r>
        <w:fldChar w:fldCharType="separate"/>
      </w:r>
      <w:r w:rsidRPr="00576369">
        <w:rPr>
          <w:bCs/>
          <w:noProof/>
          <w:lang w:val="en-US"/>
        </w:rPr>
        <w:t>Alloa and Thomä, 2.</w:t>
      </w:r>
      <w:r>
        <w:fldChar w:fldCharType="end"/>
      </w:r>
    </w:p>
  </w:footnote>
  <w:footnote w:id="4">
    <w:p w14:paraId="0AC93586" w14:textId="77777777" w:rsidR="00FD74CE" w:rsidRPr="00AA5D62" w:rsidRDefault="00FD74CE" w:rsidP="00FD74CE">
      <w:pPr>
        <w:pStyle w:val="FootnoteText"/>
      </w:pPr>
      <w:r w:rsidRPr="00E2337E">
        <w:rPr>
          <w:rStyle w:val="FootnoteReference"/>
        </w:rPr>
        <w:footnoteRef/>
      </w:r>
      <w:r>
        <w:t xml:space="preserve"> Traced for example by </w:t>
      </w:r>
      <w:r>
        <w:fldChar w:fldCharType="begin" w:fldLock="1"/>
      </w:r>
      <w:r>
        <w:instrText>ADDIN CSL_CITATION {"citationItems":[{"id":"ITEM-1","itemData":{"DOI":"10.1017/CBO9781139108843","ISBN":"9781139108843","editor":[{"dropping-particle":"","family":"Bianchi","given":"Andrea","non-dropping-particle":"","parse-names":false,"suffix":""},{"dropping-particle":"","family":"Peters","given":"Anne","non-dropping-particle":"","parse-names":false,"suffix":""}],"id":"ITEM-1","issued":{"date-parts":[["2013"]]},"publisher":"Cambridge University Press","publisher-place":"Cambridge","title":"Transparency in International Law","type":"book"},"uris":["http://www.mendeley.com/documents/?uuid=182739cd-0c14-3ed5-905b-db23f79424d1"]},{"id":"ITEM-2","itemData":{"author":[{"dropping-particle":"","family":"Koivisto","given":"Ida","non-dropping-particle":"","parse-names":false,"suffix":""}],"container-title":"Minnesota Journal of International Law","id":"ITEM-2","issued":{"date-parts":[["0"]]},"title":"The IMF and the Transparency Turn","type":"article-journal"},"uris":["http://www.mendeley.com/documents/?uuid=9a44517d-26b0-3145-a21c-4f626963b729"]},{"id":"ITEM-3","itemData":{"abstract":"There appears to be an uninterrupted rise in the quest for transparency in global governance. Its desirability relies on the promise of making power visible and as such, controllable. However, this ‘rise and rise of transparency’ has occurred thus far without sufficient conceptual analysis or critique. The metaphorical authority of transparency seems to be self-justificatory. In this Working Paper, this point of departure is questioned. This is done by analyzing the partly contradictory connotations of transparency and their social implications. It is argued a) that transparency derives its metaphorical authority from our rudimentary sensory experiences of being able to see; the scope of this vision can be, however, manipulated in many ways; b) transparency’s negative connotations are undertheorized when referring to social and societal life; at the heart of positively perceived transparency there is performativity structured by theater imagery; c) negatively connoting transparency is associated with the failure of successful self-representation; depending on the context, this may cause strategic failure and/or shame and embarrassment. The analysis presented in this Working Paper is designed to be the start","author":[{"dropping-particle":"","family":"Koivisto","given":"Ida","non-dropping-particle":"","parse-names":false,"suffix":""}],"container-title":"EUI Working Papers","id":"ITEM-3","issued":{"date-parts":[["2016"]]},"title":"The Anatomy of Transparency: The Concept and its Multifarious Implications","type":"report"},"uris":["http://www.mendeley.com/documents/?uuid=81a7425c-05ef-4173-b873-d1fb6b97af38"]},{"id":"ITEM-4","itemData":{"author":[{"dropping-particle":"","family":"Koivisto","given":"Ida","non-dropping-particle":"","parse-names":false,"suffix":""}],"id":"ITEM-4","issued":{"date-parts":[["0"]]},"number-of-pages":"158-162","title":"Regulating Visiblity – Transparency As an Ideal in Global Administrative Law","type":"report"},"uris":["http://www.mendeley.com/documents/?uuid=42f9078c-7078-4b99-ba8b-93b62d0ac3a1"]},{"id":"ITEM-5","itemData":{"DOI":"10.1093/acprof:oso/9780199658244.001.0001","ISBN":"9780199949915","ISSN":"1098-6596","PMID":"25246403","abstract":"The use of indicators as a technique of global governance is increasing rapidly. Major examples include the World Bank's Doing Business Indicators, the World Bank's Good Governance and Rule of Law indicators, the Millennium Development Goals, and the indicators produced by Transparency International. Human rights indicators are being developed in the UN and regional and advocacy organizations. The burgeoning production and use of indicators has not, however, been accompanied by systematic comparative study of, or reflection on, the implications, possibilities, and pitfalls of this practice. This book furthers the study of these issues by examining the production and history of indicators, as well as relationships between the producers, users, subjects, and audiences of indicators. It also explores the creation, use, and effects of indicators as forms of knowledge and as mechanisms of making and implementing decisions in global governance. Using insights from case studies, empirical work, and theoretical approaches from several disciplines, the book identifies legal, policy, and normative implications of the production and use of indicators as a tool of global governance.","author":[{"dropping-particle":"","family":"Davis","given":"Kevin","non-dropping-particle":"","parse-names":false,"suffix":""},{"dropping-particle":"","family":"Fisher","given":"Angelina","non-dropping-particle":"","parse-names":false,"suffix":""},{"dropping-particle":"","family":"Kingsbury","given":"Benedict","non-dropping-particle":"","parse-names":false,"suffix":""},{"dropping-particle":"","family":"Engle Merry","given":"Sally","non-dropping-particle":"","parse-names":false,"suffix":""}],"container-title":"Governance by Indicators: Global Power through Quantification and Rankings","id":"ITEM-5","issued":{"date-parts":[["2012"]]},"number-of-pages":"1-504","title":"Governance by Indicators: Global Power through Quantification and Rankings","type":"book"},"uris":["http://www.mendeley.com/documents/?uuid=cb1b5a01-7139-39c1-869b-2abf31fe2f74"]}],"mendeley":{"formattedCitation":"Andrea Bianchi and Anne Peters, eds., &lt;i&gt;Transparency in International Law&lt;/i&gt; (Cambridge: Cambridge University Press, 2013), https://doi.org/10.1017/CBO9781139108843; Ida Koivisto, “The IMF and the Transparency Turn,” &lt;i&gt;Minnesota Journal of International Law&lt;/i&gt;, accessed February 15, 2018, http://heinonline.org/HOL/Page?handle=hein.journals/mjgt25&amp;div=17&amp;g_sent=1&amp;casa_token=&amp;collection=journals; Ida Koivisto, “The Anatomy of Transparency: The Concept and Its Multifarious Implications,” &lt;i&gt;EUI Working Papers&lt;/i&gt;, 2016; Ida Koivisto, “Regulating Visiblity – Transparency As an Ideal in Global Administrative Law,” n.d.; Kevin Davis et al., &lt;i&gt;Governance by Indicators: Global Power through Quantification and Rankings&lt;/i&gt;, &lt;i&gt;Governance by Indicators: Global Power through Quantification and Rankings&lt;/i&gt;, 2012, https://doi.org/10.1093/acprof:oso/9780199658244.001.0001.","plainTextFormattedCitation":"Andrea Bianchi and Anne Peters, eds., Transparency in International Law (Cambridge: Cambridge University Press, 2013), https://doi.org/10.1017/CBO9781139108843; Ida Koivisto, “The IMF and the Transparency Turn,” Minnesota Journal of International Law, accessed February 15, 2018, http://heinonline.org/HOL/Page?handle=hein.journals/mjgt25&amp;div=17&amp;g_sent=1&amp;casa_token=&amp;collection=journals; Ida Koivisto, “The Anatomy of Transparency: The Concept and Its Multifarious Implications,” EUI Working Papers, 2016; Ida Koivisto, “Regulating Visiblity – Transparency As an Ideal in Global Administrative Law,” n.d.; Kevin Davis et al., Governance by Indicators: Global Power through Quantification and Rankings, Governance by Indicators: Global Power through Quantification and Rankings, 2012, https://doi.org/10.1093/acprof:oso/9780199658244.001.0001.","previouslyFormattedCitation":"Andrea Bianchi and Anne Peters, eds., &lt;i&gt;Transparency in International Law&lt;/i&gt; (Cambridge: Cambridge University Press, 2013), https://doi.org/10.1017/CBO9781139108843; Ida Koivisto, “The IMF and the Transparency Turn,” &lt;i&gt;Minnesota Journal of International Law&lt;/i&gt;, accessed February 15, 2018, http://heinonline.org/HOL/Page?handle=hein.journals/mjgt25&amp;div=17&amp;g_sent=1&amp;casa_token=&amp;collection=journals; Ida Koivisto, “The Anatomy of Transparency: The Concept and Its Multifarious Implications,” &lt;i&gt;EUI Working Papers&lt;/i&gt;, 2016; Ida Koivisto, “Regulating Visiblity – Transparency As an Ideal in Global Administrative Law,” n.d.; Kevin Davis et al., &lt;i&gt;Governance by Indicators: Global Power through Quantification and Rankings&lt;/i&gt;, &lt;i&gt;Governance by Indicators: Global Power through Quantification and Rankings&lt;/i&gt;, 2012, https://doi.org/10.1093/acprof:oso/9780199658244.001.0001."},"properties":{"noteIndex":43},"schema":"https://github.com/citation-style-language/schema/raw/master/csl-citation.json"}</w:instrText>
      </w:r>
      <w:r>
        <w:fldChar w:fldCharType="separate"/>
      </w:r>
      <w:r w:rsidRPr="002E696F">
        <w:rPr>
          <w:noProof/>
        </w:rPr>
        <w:t xml:space="preserve">Andrea Bianchi and Anne Peters, eds., </w:t>
      </w:r>
      <w:r w:rsidRPr="002E696F">
        <w:rPr>
          <w:i/>
          <w:noProof/>
        </w:rPr>
        <w:t>Transparency in International Law</w:t>
      </w:r>
      <w:r w:rsidRPr="002E696F">
        <w:rPr>
          <w:noProof/>
        </w:rPr>
        <w:t xml:space="preserve"> (Cambridge: Cambridge University Press, 2013), https://doi.org/10.1017/CBO9781139108843; Ida Koivisto, “The IMF and the Transparency Turn,” </w:t>
      </w:r>
      <w:r w:rsidRPr="002E696F">
        <w:rPr>
          <w:i/>
          <w:noProof/>
        </w:rPr>
        <w:t>Minnesota Journal of International Law</w:t>
      </w:r>
      <w:r w:rsidRPr="002E696F">
        <w:rPr>
          <w:noProof/>
        </w:rPr>
        <w:t xml:space="preserve">, accessed February 15, 2018, http://heinonline.org/HOL/Page?handle=hein.journals/mjgt25&amp;div=17&amp;g_sent=1&amp;casa_token=&amp;collection=journals; Ida Koivisto, “The Anatomy of Transparency: The Concept and Its Multifarious Implications,” </w:t>
      </w:r>
      <w:r w:rsidRPr="002E696F">
        <w:rPr>
          <w:i/>
          <w:noProof/>
        </w:rPr>
        <w:t>EUI Working Papers</w:t>
      </w:r>
      <w:r w:rsidRPr="002E696F">
        <w:rPr>
          <w:noProof/>
        </w:rPr>
        <w:t xml:space="preserve">, 2016; Ida Koivisto, “Regulating Visiblity – Transparency As an Ideal in Global Administrative Law,” n.d.; Kevin Davis et al., </w:t>
      </w:r>
      <w:r w:rsidRPr="002E696F">
        <w:rPr>
          <w:i/>
          <w:noProof/>
        </w:rPr>
        <w:t>Governance by Indicators: Global Power through Quantification and Rankings</w:t>
      </w:r>
      <w:r w:rsidRPr="002E696F">
        <w:rPr>
          <w:noProof/>
        </w:rPr>
        <w:t xml:space="preserve">, </w:t>
      </w:r>
      <w:r w:rsidRPr="002E696F">
        <w:rPr>
          <w:i/>
          <w:noProof/>
        </w:rPr>
        <w:t>Governance by Indicators: Global Power through Quantification and Rankings</w:t>
      </w:r>
      <w:r w:rsidRPr="002E696F">
        <w:rPr>
          <w:noProof/>
        </w:rPr>
        <w:t>, 2012, https://doi.org/10.1093/acprof:oso/9780199658244.001.0001.</w:t>
      </w:r>
      <w:r>
        <w:fldChar w:fldCharType="end"/>
      </w:r>
      <w:r>
        <w:t xml:space="preserve"> See also </w:t>
      </w:r>
      <w:r>
        <w:fldChar w:fldCharType="begin" w:fldLock="1"/>
      </w:r>
      <w:r>
        <w:instrText>ADDIN CSL_CITATION {"citationItems":[{"id":"ITEM-1","itemData":{"DOI":"10.1093/ACPROF:OSO/9780199658244.001.0001","ISBN":"9780199949915","abstract":"The use of indicators as a technique of global governance is increasing rapidly. Major examples include the World Bank's Doing Business Indicators, the World Bank's Good Governance and Rule of Law indicators, the Millennium Development Goals, and the indicators produced by Transparency International. Human rights indicators are being developed in the UN and regional and advocacy organizations. The burgeoning production and use of indicators has not, however, been accompanied by systematic comparative study of, or reflection on, the implications, possibilities, and pitfalls of this practice. This book furthers the study of these issues by examining the production and history of indicators, as well as relationships between the producers, users, subjects, and audiences of indicators. It also explores the creation, use, and effects of indicators as forms of knowledge and as mechanisms of making and implementing decisions in global governance. Using insights from case studies, empirical work, and theoretical approaches from several disciplines, the book identifies legal, policy, and normative implications of the production and use of indicators as a tool of global governance.","author":[{"dropping-particle":"","family":"Davis","given":"Kevin","non-dropping-particle":"","parse-names":false,"suffix":""},{"dropping-particle":"","family":"Fisher","given":"Angelina","non-dropping-particle":"","parse-names":false,"suffix":""},{"dropping-particle":"","family":"Kingsbury","given":"Benedict","non-dropping-particle":"","parse-names":false,"suffix":""},{"dropping-particle":"","family":"Engle Merry","given":"Sally","non-dropping-particle":"","parse-names":false,"suffix":""}],"container-title":"Governance by Indicators: Global Power through Quantification and Rankings","id":"ITEM-1","issued":{"date-parts":[["2012","9","20"]]},"number-of-pages":"1-504","publisher":"Oxford University Press","title":"Governance by Indicators: Global Power through Quantification and Rankings","type":"book"},"uris":["http://www.mendeley.com/documents/?uuid=ff882230-5dc4-3b7f-bce4-283bc5f5ec7c"]}],"mendeley":{"formattedCitation":"Kevin Davis et al., &lt;i&gt;Governance by Indicators: Global Power through Quantification and Rankings&lt;/i&gt;, &lt;i&gt;Governance by Indicators: Global Power through Quantification and Rankings&lt;/i&gt; (Oxford University Press, 2012), https://doi.org/10.1093/ACPROF:OSO/9780199658244.001.0001.","plainTextFormattedCitation":"Kevin Davis et al., Governance by Indicators: Global Power through Quantification and Rankings, Governance by Indicators: Global Power through Quantification and Rankings (Oxford University Press, 2012), https://doi.org/10.1093/ACPROF:OSO/9780199658244.001.0001.","previouslyFormattedCitation":"Kevin Davis et al., &lt;i&gt;Governance by Indicators: Global Power through Quantification and Rankings&lt;/i&gt;, &lt;i&gt;Governance by Indicators: Global Power through Quantification and Rankings&lt;/i&gt; (Oxford University Press, 2012), https://doi.org/10.1093/ACPROF:OSO/9780199658244.001.0001."},"properties":{"noteIndex":43},"schema":"https://github.com/citation-style-language/schema/raw/master/csl-citation.json"}</w:instrText>
      </w:r>
      <w:r>
        <w:fldChar w:fldCharType="separate"/>
      </w:r>
      <w:r w:rsidRPr="002E696F">
        <w:rPr>
          <w:noProof/>
        </w:rPr>
        <w:t xml:space="preserve">Kevin Davis et al., </w:t>
      </w:r>
      <w:r w:rsidRPr="002E696F">
        <w:rPr>
          <w:i/>
          <w:noProof/>
        </w:rPr>
        <w:t>Governance by Indicators: Global Power through Quantification and Rankings</w:t>
      </w:r>
      <w:r w:rsidRPr="002E696F">
        <w:rPr>
          <w:noProof/>
        </w:rPr>
        <w:t xml:space="preserve">, </w:t>
      </w:r>
      <w:r w:rsidRPr="002E696F">
        <w:rPr>
          <w:i/>
          <w:noProof/>
        </w:rPr>
        <w:t>Governance by Indicators: Global Power through Quantification and Rankings</w:t>
      </w:r>
      <w:r w:rsidRPr="002E696F">
        <w:rPr>
          <w:noProof/>
        </w:rPr>
        <w:t xml:space="preserve"> (Oxford University Press, 2012), https://doi.org/10.1093/ACPROF:OSO/9780199658244.001.0001.</w:t>
      </w:r>
      <w:r>
        <w:fldChar w:fldCharType="end"/>
      </w:r>
      <w:r>
        <w:t xml:space="preserve"> </w:t>
      </w:r>
    </w:p>
  </w:footnote>
  <w:footnote w:id="5">
    <w:p w14:paraId="641719DD" w14:textId="77777777" w:rsidR="00FD74CE" w:rsidRPr="00977C85" w:rsidRDefault="00FD74CE" w:rsidP="00FD74CE">
      <w:pPr>
        <w:pStyle w:val="FootnoteText"/>
        <w:rPr>
          <w:lang w:val="en-US"/>
        </w:rPr>
      </w:pPr>
      <w:r w:rsidRPr="00E2337E">
        <w:rPr>
          <w:rStyle w:val="FootnoteReference"/>
        </w:rPr>
        <w:footnoteRef/>
      </w:r>
      <w:r>
        <w:t xml:space="preserve"> </w:t>
      </w:r>
      <w:r w:rsidRPr="00262D42">
        <w:rPr>
          <w:i/>
          <w:iCs/>
        </w:rPr>
        <w:t>See</w:t>
      </w:r>
      <w:r>
        <w:t xml:space="preserve"> e.g. </w:t>
      </w:r>
      <w:r>
        <w:fldChar w:fldCharType="begin" w:fldLock="1"/>
      </w:r>
      <w:r>
        <w:instrText>ADDIN CSL_CITATION {"citationItems":[{"id":"ITEM-1","itemData":{"DOI":"10.1007/978-3-319-77161-8","ISBN":"978-3-319-77160-1","editor":[{"dropping-particle":"","family":"Alloa","given":"Emmanuel","non-dropping-particle":"","parse-names":false,"suffix":""},{"dropping-particle":"","family":"Thomä","given":"Dieter","non-dropping-particle":"","parse-names":false,"suffix":""}],"id":"ITEM-1","issued":{"date-parts":[["2018"]]},"publisher":"Palgrave Macmillan","title":"Transparency, Society and Subjectivity Critical Perspectives","type":"book"},"uris":["http://www.mendeley.com/documents/?uuid=a6bf0065-9f21-3795-ab30-5775d819fe97"]}],"mendeley":{"formattedCitation":"Alloa and Thomä, &lt;i&gt;Transparency, Society and Subjectivity Critical Perspectives&lt;/i&gt;.","plainTextFormattedCitation":"Alloa and Thomä, Transparency, Society and Subjectivity Critical Perspectives.","previouslyFormattedCitation":"Alloa and Thomä, &lt;i&gt;Transparency, Society and Subjectivity Critical Perspectives&lt;/i&gt;."},"properties":{"noteIndex":44},"schema":"https://github.com/citation-style-language/schema/raw/master/csl-citation.json"}</w:instrText>
      </w:r>
      <w:r>
        <w:fldChar w:fldCharType="separate"/>
      </w:r>
      <w:r w:rsidRPr="00262D42">
        <w:rPr>
          <w:noProof/>
        </w:rPr>
        <w:t xml:space="preserve">Alloa and Thomä, </w:t>
      </w:r>
      <w:r w:rsidRPr="00262D42">
        <w:rPr>
          <w:i/>
          <w:noProof/>
        </w:rPr>
        <w:t>Transparency, Society and Subjectivity Critical Perspectives</w:t>
      </w:r>
      <w:r w:rsidRPr="00262D42">
        <w:rPr>
          <w:noProof/>
        </w:rPr>
        <w:t>.</w:t>
      </w:r>
      <w:r>
        <w:fldChar w:fldCharType="end"/>
      </w:r>
    </w:p>
  </w:footnote>
  <w:footnote w:id="6">
    <w:p w14:paraId="6548185D" w14:textId="77777777" w:rsidR="00FD74CE" w:rsidRPr="008E0E54" w:rsidRDefault="00FD74CE" w:rsidP="00FD74CE">
      <w:pPr>
        <w:pStyle w:val="FootnoteText"/>
        <w:rPr>
          <w:rFonts w:cstheme="minorHAnsi"/>
          <w:lang w:val="en-US"/>
        </w:rPr>
      </w:pPr>
      <w:r w:rsidRPr="00E2337E">
        <w:rPr>
          <w:rStyle w:val="FootnoteReference"/>
        </w:rPr>
        <w:footnoteRef/>
      </w:r>
      <w:r w:rsidRPr="008E0E54">
        <w:rPr>
          <w:rFonts w:cstheme="minorHAnsi"/>
        </w:rPr>
        <w:t xml:space="preserve"> </w:t>
      </w:r>
      <w:r w:rsidRPr="008E0E54">
        <w:rPr>
          <w:rFonts w:cstheme="minorHAnsi"/>
        </w:rPr>
        <w:fldChar w:fldCharType="begin" w:fldLock="1"/>
      </w:r>
      <w:r>
        <w:rPr>
          <w:rFonts w:cstheme="minorHAnsi"/>
        </w:rPr>
        <w:instrText>ADDIN CSL_CITATION {"citationItems":[{"id":"ITEM-1","itemData":{"DOI":"10.1163/15718123-01803001","ISSN":"1567-536X","author":[{"dropping-particle":"","family":"Ambach","given":"Philipp","non-dropping-particle":"","parse-names":false,"suffix":""}],"container-title":"International Criminal Law Review","id":"ITEM-1","issue":"3","issued":{"date-parts":[["2018","5","21"]]},"page":"426-460","title":"Performance Indicators for International(ised) Criminal Courts – Potential for Increase of an Institution’s Legacy or ‘Just’ a Means of Budgetary Control?","type":"article-journal","volume":"18"},"uris":["http://www.mendeley.com/documents/?uuid=8d44777e-ff01-4ef7-a47e-6e1eb8b04234"]}],"mendeley":{"formattedCitation":"Philipp Ambach, “Performance Indicators for International(Ised) Criminal Courts – Potential for Increase of an Institution’s Legacy or ‘Just’ a Means of Budgetary Control?,” &lt;i&gt;International Criminal Law Review&lt;/i&gt; 18, no. 3 (May 21, 2018): 426–60, https://doi.org/10.1163/15718123-01803001.","plainTextFormattedCitation":"Philipp Ambach, “Performance Indicators for International(Ised) Criminal Courts – Potential for Increase of an Institution’s Legacy or ‘Just’ a Means of Budgetary Control?,” International Criminal Law Review 18, no. 3 (May 21, 2018): 426–60, https://doi.org/10.1163/15718123-01803001.","previouslyFormattedCitation":"Philipp Ambach, “Performance Indicators for International(Ised) Criminal Courts – Potential for Increase of an Institution’s Legacy or ‘Just’ a Means of Budgetary Control?,” &lt;i&gt;International Criminal Law Review&lt;/i&gt; 18, no. 3 (May 21, 2018): 426–60, https://doi.org/10.1163/15718123-01803001."},"properties":{"noteIndex":45},"schema":"https://github.com/citation-style-language/schema/raw/master/csl-citation.json"}</w:instrText>
      </w:r>
      <w:r w:rsidRPr="008E0E54">
        <w:rPr>
          <w:rFonts w:cstheme="minorHAnsi"/>
        </w:rPr>
        <w:fldChar w:fldCharType="separate"/>
      </w:r>
      <w:r w:rsidRPr="0006717D">
        <w:rPr>
          <w:rFonts w:cstheme="minorHAnsi"/>
          <w:noProof/>
        </w:rPr>
        <w:t xml:space="preserve">Philipp Ambach, “Performance Indicators for International(Ised) Criminal Courts – Potential for Increase of an Institution’s Legacy or ‘Just’ a Means of Budgetary Control?,” </w:t>
      </w:r>
      <w:r w:rsidRPr="0006717D">
        <w:rPr>
          <w:rFonts w:cstheme="minorHAnsi"/>
          <w:i/>
          <w:noProof/>
        </w:rPr>
        <w:t>International Criminal Law Review</w:t>
      </w:r>
      <w:r w:rsidRPr="0006717D">
        <w:rPr>
          <w:rFonts w:cstheme="minorHAnsi"/>
          <w:noProof/>
        </w:rPr>
        <w:t xml:space="preserve"> 18, no. 3 (May 21, 2018): 426–60, https://doi.org/10.1163/15718123-01803001.</w:t>
      </w:r>
      <w:r w:rsidRPr="008E0E54">
        <w:rPr>
          <w:rFonts w:cstheme="minorHAnsi"/>
        </w:rPr>
        <w:fldChar w:fldCharType="end"/>
      </w:r>
      <w:r w:rsidRPr="008E0E54">
        <w:rPr>
          <w:rFonts w:cstheme="minorHAnsi"/>
        </w:rPr>
        <w:t xml:space="preserve"> </w:t>
      </w:r>
      <w:r>
        <w:rPr>
          <w:rFonts w:cstheme="minorHAnsi"/>
        </w:rPr>
        <w:t xml:space="preserve">See also </w:t>
      </w:r>
      <w:r>
        <w:rPr>
          <w:rFonts w:cstheme="minorHAnsi"/>
        </w:rPr>
        <w:fldChar w:fldCharType="begin" w:fldLock="1"/>
      </w:r>
      <w:r>
        <w:rPr>
          <w:rFonts w:cstheme="minorHAnsi"/>
        </w:rPr>
        <w:instrText>ADDIN CSL_CITATION {"citationItems":[{"id":"ITEM-1","itemData":{"DOI":"10.1017/S0922156511000264","author":[{"dropping-particle":"","family":"Kendall","given":"Sara","non-dropping-particle":"","parse-names":false,"suffix":""}],"container-title":"Leiden Journal of International Law2","id":"ITEM-1","issue":"3","issued":{"date-parts":[["2011"]]},"page":"585-606","title":"Donors' Justice: Recasting International Criminal Accountability","type":"article-journal","volume":"24"},"uris":["http://www.mendeley.com/documents/?uuid=1bfa4761-8137-46d7-adc5-0f07d629e566"]}],"mendeley":{"formattedCitation":"Sara Kendall, “Donors’ Justice: Recasting International Criminal Accountability,” &lt;i&gt;Leiden Journal of International Law2&lt;/i&gt; 24, no. 3 (2011): 585–606, https://doi.org/10.1017/S0922156511000264.","plainTextFormattedCitation":"Sara Kendall, “Donors’ Justice: Recasting International Criminal Accountability,” Leiden Journal of International Law2 24, no. 3 (2011): 585–606, https://doi.org/10.1017/S0922156511000264.","previouslyFormattedCitation":"Sara Kendall, “Donors’ Justice: Recasting International Criminal Accountability,” &lt;i&gt;Leiden Journal of International Law2&lt;/i&gt; 24, no. 3 (2011): 585–606, https://doi.org/10.1017/S0922156511000264."},"properties":{"noteIndex":45},"schema":"https://github.com/citation-style-language/schema/raw/master/csl-citation.json"}</w:instrText>
      </w:r>
      <w:r>
        <w:rPr>
          <w:rFonts w:cstheme="minorHAnsi"/>
        </w:rPr>
        <w:fldChar w:fldCharType="separate"/>
      </w:r>
      <w:r w:rsidRPr="002E696F">
        <w:rPr>
          <w:rFonts w:cstheme="minorHAnsi"/>
          <w:noProof/>
        </w:rPr>
        <w:t xml:space="preserve">Sara Kendall, “Donors’ Justice: Recasting International Criminal Accountability,” </w:t>
      </w:r>
      <w:r w:rsidRPr="002E696F">
        <w:rPr>
          <w:rFonts w:cstheme="minorHAnsi"/>
          <w:i/>
          <w:noProof/>
        </w:rPr>
        <w:t>Leiden Journal of International Law2</w:t>
      </w:r>
      <w:r w:rsidRPr="002E696F">
        <w:rPr>
          <w:rFonts w:cstheme="minorHAnsi"/>
          <w:noProof/>
        </w:rPr>
        <w:t xml:space="preserve"> 24, no. 3 (2011): 585–606, https://doi.org/10.1017/S0922156511000264.</w:t>
      </w:r>
      <w:r>
        <w:rPr>
          <w:rFonts w:cstheme="minorHAnsi"/>
        </w:rPr>
        <w:fldChar w:fldCharType="end"/>
      </w:r>
      <w:r>
        <w:rPr>
          <w:rFonts w:cstheme="minorHAnsi"/>
        </w:rPr>
        <w:t xml:space="preserve"> </w:t>
      </w:r>
    </w:p>
  </w:footnote>
  <w:footnote w:id="7">
    <w:p w14:paraId="19DB82E7" w14:textId="77777777" w:rsidR="00FD74CE" w:rsidRPr="00B0770D" w:rsidRDefault="00FD74CE" w:rsidP="00FD74CE">
      <w:pPr>
        <w:pStyle w:val="FootnoteText"/>
      </w:pPr>
      <w:r w:rsidRPr="00E2337E">
        <w:rPr>
          <w:rStyle w:val="FootnoteReference"/>
        </w:rPr>
        <w:footnoteRef/>
      </w:r>
      <w:r>
        <w:t xml:space="preserve"> My approach here has been shaped by the masterful analysis of the marketing imperatives on the work of the ICC by </w:t>
      </w:r>
      <w:r>
        <w:fldChar w:fldCharType="begin" w:fldLock="1"/>
      </w:r>
      <w:r>
        <w:instrText>ADDIN CSL_CITATION {"citationItems":[{"id":"ITEM-1","itemData":{"DOI":"10.1177/13624806211026916","ISBN":"9781108482752","ISSN":"1362-4806","abstract":"\"Marketing Global Justice is a critical study of efforts to 'sell' global justice. The book offers a new reading of the rise of international criminal law as the dominant institutional expression of global justice, linking it to the rise of branding. The political economy analysis employed highlights that a global elite benefit from marketised global justice whilst those who tend to be the 'faces' of global injustice - particularly victims of conflict - are instrumentalised and ultimately commodified. The book is an invitation to critically consider the predominance of market values in global justice, suggesting an 'occupying' of global justice as an avenue for drawing out social values\"-- Introduction -- Ad-vocacy : what is marketing in global justice? -- A brand new justice : how global justice became marketable in the 1990s -- 'A picture worth more than a thousand words' : the value of global justice -- Working it : the brand of the ideal victim -- Kony 2012 : making an accused *famous* -- Special effects : the international criminal court in the global market -- Branding the global (in)justice place -- 'Occupying' global justice -- Conclusion.","author":[{"dropping-particle":"","family":"Schwöbel-Patel","given":"Christine","non-dropping-particle":"","parse-names":false,"suffix":""}],"id":"ITEM-1","issued":{"date-parts":[["2021"]]},"publisher":"Cambridge University Press","title":"Marketing Global Justice: The Political Economy of International Criminal Law","type":"book"},"uris":["http://www.mendeley.com/documents/?uuid=5a300d89-8af6-360f-b02b-723b319a04e8"]}],"mendeley":{"formattedCitation":"Schwöbel-Patel, &lt;i&gt;Marketing Global Justice: The Political Economy of International Criminal Law&lt;/i&gt;.","plainTextFormattedCitation":"Schwöbel-Patel, Marketing Global Justice: The Political Economy of International Criminal Law.","previouslyFormattedCitation":"Schwöbel-Patel, &lt;i&gt;Marketing Global Justice: The Political Economy of International Criminal Law&lt;/i&gt;."},"properties":{"noteIndex":46},"schema":"https://github.com/citation-style-language/schema/raw/master/csl-citation.json"}</w:instrText>
      </w:r>
      <w:r>
        <w:fldChar w:fldCharType="separate"/>
      </w:r>
      <w:r w:rsidRPr="00576369">
        <w:rPr>
          <w:noProof/>
        </w:rPr>
        <w:t xml:space="preserve">Schwöbel-Patel, </w:t>
      </w:r>
      <w:r w:rsidRPr="00576369">
        <w:rPr>
          <w:i/>
          <w:noProof/>
        </w:rPr>
        <w:t>Marketing Global Justice: The Political Economy of International Criminal Law</w:t>
      </w:r>
      <w:r w:rsidRPr="00576369">
        <w:rPr>
          <w:noProof/>
        </w:rPr>
        <w:t>.</w:t>
      </w:r>
      <w:r>
        <w:fldChar w:fldCharType="end"/>
      </w:r>
    </w:p>
  </w:footnote>
  <w:footnote w:id="8">
    <w:p w14:paraId="1539869A" w14:textId="77777777" w:rsidR="00FD74CE" w:rsidRDefault="00FD74CE" w:rsidP="00FD74CE">
      <w:pPr>
        <w:pStyle w:val="FootnoteText"/>
      </w:pPr>
      <w:r w:rsidRPr="00E2337E">
        <w:rPr>
          <w:rStyle w:val="FootnoteReference"/>
        </w:rPr>
        <w:footnoteRef/>
      </w:r>
      <w:r>
        <w:t xml:space="preserve"> </w:t>
      </w:r>
      <w:r>
        <w:fldChar w:fldCharType="begin" w:fldLock="1"/>
      </w:r>
      <w:r>
        <w:instrText>ADDIN CSL_CITATION {"citationItems":[{"id":"ITEM-1","itemData":{"author":[{"dropping-particle":"","family":"Clements","given":"Richard","non-dropping-particle":"","parse-names":false,"suffix":""}],"id":"ITEM-1","issued":{"date-parts":[["2019"]]},"publisher":"University of Cambridge","title":"Governing International Criminal Justice: Managerial Practices and the International Criminal Court","type":"thesis"},"locator":"29","uris":["http://www.mendeley.com/documents/?uuid=849a0684-38af-414d-b347-0003933133df"]}],"mendeley":{"formattedCitation":"Clements, “Governing International Criminal Justice: Managerial Practices and the International Criminal Court,” 29.","plainTextFormattedCitation":"Clements, “Governing International Criminal Justice: Managerial Practices and the International Criminal Court,” 29.","previouslyFormattedCitation":"Clements, “Governing International Criminal Justice: Managerial Practices and the International Criminal Court,” 29."},"properties":{"noteIndex":47},"schema":"https://github.com/citation-style-language/schema/raw/master/csl-citation.json"}</w:instrText>
      </w:r>
      <w:r>
        <w:fldChar w:fldCharType="separate"/>
      </w:r>
      <w:r w:rsidRPr="00576369">
        <w:rPr>
          <w:noProof/>
        </w:rPr>
        <w:t>Clements, “Governing International Criminal Justice: Managerial Practices and the International Criminal Court,” 29.</w:t>
      </w:r>
      <w:r>
        <w:fldChar w:fldCharType="end"/>
      </w:r>
      <w:r>
        <w:t xml:space="preserve"> </w:t>
      </w:r>
    </w:p>
  </w:footnote>
  <w:footnote w:id="9">
    <w:p w14:paraId="5AED7BA4" w14:textId="77777777" w:rsidR="00FD74CE" w:rsidRPr="00576369" w:rsidRDefault="00FD74CE" w:rsidP="00FD74CE">
      <w:pPr>
        <w:pStyle w:val="FootnoteText"/>
        <w:rPr>
          <w:lang w:val="en-US"/>
        </w:rPr>
      </w:pPr>
      <w:r w:rsidRPr="00E2337E">
        <w:rPr>
          <w:rStyle w:val="FootnoteReference"/>
        </w:rPr>
        <w:footnoteRef/>
      </w:r>
      <w:r>
        <w:t xml:space="preserve"> </w:t>
      </w:r>
      <w:r>
        <w:fldChar w:fldCharType="begin" w:fldLock="1"/>
      </w:r>
      <w:r>
        <w:instrText>ADDIN CSL_CITATION {"citationItems":[{"id":"ITEM-1","itemData":{"DOI":"10.1017/S0922156519000335","ISSN":"0922-1565","abstract":"As the glow that accompanied the kinetic judicialization of the field of international criminal justice has faded over time, scholars have increasingly turned to expressivist strands of thought to justify, assess, and critique the practices of international criminal courts. This expressive turn has been characterized by a heightened concern for the pedagogical value and legitimating qualities of international criminal courts. This article develops a unique typology of expressivist perspectives within the field of international criminal justice, distinguishing between three strands of expressivism: instrumental expressivism, which concerns the justification of different practices of international criminal courts in terms of the instrumental value of their expressive qualities; interpretive expressivism, which concerns the identification of expressive avenues for improving the sociological legitimacy of international criminal courts; and critical expressivism, which concerns the illumination of the expressive limits of international criminal courts, as well as unveiling the configurations of power that underpin the messages and narratives constructed within such courts in different institutional contexts. Reflecting on the limitations of these perspectives, the article elaborates a nascent strand of expressivism – strategic expressivism – which concerns whether and how different actors in the field may harness the expressive power of international criminal justice in line with their strategic social and political agendas.","author":[{"dropping-particle":"","family":"Sander","given":"Barrie","non-dropping-particle":"","parse-names":false,"suffix":""}],"container-title":"Leiden Journal of International Law","id":"ITEM-1","issue":"4","issued":{"date-parts":[["2019","12","1"]]},"page":"851-872","publisher":"Cambridge University Press","title":"The expressive turn of international criminal justice: A field in search of meaning","type":"article-journal","volume":"32"},"uris":["http://www.mendeley.com/documents/?uuid=d3328aea-bbae-373d-9b29-e63876583d70"]}],"mendeley":{"formattedCitation":"Barrie Sander, “The Expressive Turn of International Criminal Justice: A Field in Search of Meaning,” &lt;i&gt;Leiden Journal of International Law&lt;/i&gt; 32, no. 4 (December 1, 2019): 851–72, https://doi.org/10.1017/S0922156519000335.","plainTextFormattedCitation":"Barrie Sander, “The Expressive Turn of International Criminal Justice: A Field in Search of Meaning,” Leiden Journal of International Law 32, no. 4 (December 1, 2019): 851–72, https://doi.org/10.1017/S0922156519000335.","previouslyFormattedCitation":"Barrie Sander, “The Expressive Turn of International Criminal Justice: A Field in Search of Meaning,” &lt;i&gt;Leiden Journal of International Law&lt;/i&gt; 32, no. 4 (December 1, 2019): 851–72, https://doi.org/10.1017/S0922156519000335."},"properties":{"noteIndex":48},"schema":"https://github.com/citation-style-language/schema/raw/master/csl-citation.json"}</w:instrText>
      </w:r>
      <w:r>
        <w:fldChar w:fldCharType="separate"/>
      </w:r>
      <w:r w:rsidRPr="002E696F">
        <w:rPr>
          <w:noProof/>
        </w:rPr>
        <w:t xml:space="preserve">Barrie Sander, “The Expressive Turn of International Criminal Justice: A Field in Search of Meaning,” </w:t>
      </w:r>
      <w:r w:rsidRPr="002E696F">
        <w:rPr>
          <w:i/>
          <w:noProof/>
        </w:rPr>
        <w:t>Leiden Journal of International Law</w:t>
      </w:r>
      <w:r w:rsidRPr="002E696F">
        <w:rPr>
          <w:noProof/>
        </w:rPr>
        <w:t xml:space="preserve"> 32, no. 4 (December 1, 2019): 851–72, https://doi.org/10.1017/S0922156519000335.</w:t>
      </w:r>
      <w:r>
        <w:fldChar w:fldCharType="end"/>
      </w:r>
    </w:p>
  </w:footnote>
  <w:footnote w:id="10">
    <w:p w14:paraId="63AD172C" w14:textId="77777777" w:rsidR="00FD74CE" w:rsidRPr="008E0E54" w:rsidRDefault="00FD74CE" w:rsidP="00FD74CE">
      <w:pPr>
        <w:pStyle w:val="FootnoteText"/>
        <w:rPr>
          <w:rFonts w:cstheme="minorHAnsi"/>
        </w:rPr>
      </w:pPr>
      <w:r w:rsidRPr="00E2337E">
        <w:rPr>
          <w:rStyle w:val="FootnoteReference"/>
        </w:rPr>
        <w:footnoteRef/>
      </w:r>
      <w:r w:rsidRPr="008E0E54">
        <w:rPr>
          <w:rFonts w:cstheme="minorHAnsi"/>
        </w:rPr>
        <w:t xml:space="preserve"> </w:t>
      </w:r>
      <w:r w:rsidRPr="008E0E54">
        <w:rPr>
          <w:rFonts w:cstheme="minorHAnsi"/>
        </w:rPr>
        <w:fldChar w:fldCharType="begin" w:fldLock="1"/>
      </w:r>
      <w:r>
        <w:rPr>
          <w:rFonts w:cstheme="minorHAnsi"/>
        </w:rPr>
        <w:instrText>ADDIN CSL_CITATION {"citationItems":[{"id":"ITEM-1","itemData":{"DOI":"10.1017/S0922156519000335","ISSN":"0922-1565","abstract":"As the glow that accompanied the kinetic judicialization of the field of international criminal justice has faded over time, scholars have increasingly turned to expressivist strands of thought to justify, assess, and critique the practices of international criminal courts. This expressive turn has been characterized by a heightened concern for the pedagogical value and legitimating qualities of international criminal courts. This article develops a unique typology of expressivist perspectives within the field of international criminal justice, distinguishing between three strands of expressivism: instrumental expressivism, which concerns the justification of different practices of international criminal courts in terms of the instrumental value of their expressive qualities; interpretive expressivism, which concerns the identification of expressive avenues for improving the sociological legitimacy of international criminal courts; and critical expressivism, which concerns the illumination of the expressive limits of international criminal courts, as well as unveiling the configurations of power that underpin the messages and narratives constructed within such courts in different institutional contexts. Reflecting on the limitations of these perspectives, the article elaborates a nascent strand of expressivism – strategic expressivism – which concerns whether and how different actors in the field may harness the expressive power of international criminal justice in line with their strategic social and political agendas.","author":[{"dropping-particle":"","family":"Sander","given":"Barrie","non-dropping-particle":"","parse-names":false,"suffix":""}],"container-title":"Leiden Journal of International Law","id":"ITEM-1","issue":"4","issued":{"date-parts":[["2019","12","1"]]},"page":"851-872","publisher":"Cambridge University Press","title":"The expressive turn of international criminal justice: A field in search of meaning","type":"article-journal","volume":"32"},"locator":"866-67","uris":["http://www.mendeley.com/documents/?uuid=d3328aea-bbae-373d-9b29-e63876583d70"]}],"mendeley":{"formattedCitation":"Sander, 866–67.","plainTextFormattedCitation":"Sander, 866–67.","previouslyFormattedCitation":"Sander, 866–67."},"properties":{"noteIndex":49},"schema":"https://github.com/citation-style-language/schema/raw/master/csl-citation.json"}</w:instrText>
      </w:r>
      <w:r w:rsidRPr="008E0E54">
        <w:rPr>
          <w:rFonts w:cstheme="minorHAnsi"/>
        </w:rPr>
        <w:fldChar w:fldCharType="separate"/>
      </w:r>
      <w:r w:rsidRPr="00576369">
        <w:rPr>
          <w:rFonts w:cstheme="minorHAnsi"/>
          <w:noProof/>
        </w:rPr>
        <w:t>Sander, 866–67.</w:t>
      </w:r>
      <w:r w:rsidRPr="008E0E54">
        <w:rPr>
          <w:rFonts w:cstheme="minorHAnsi"/>
        </w:rPr>
        <w:fldChar w:fldCharType="end"/>
      </w:r>
      <w:r w:rsidRPr="008E0E54">
        <w:rPr>
          <w:rFonts w:cstheme="minorHAnsi"/>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CE"/>
    <w:rsid w:val="00373AEA"/>
    <w:rsid w:val="00FD74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4896"/>
  <w15:chartTrackingRefBased/>
  <w15:docId w15:val="{56A8C4F3-AB04-44C2-B92F-5579835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CE"/>
    <w:pPr>
      <w:spacing w:after="200" w:line="276" w:lineRule="auto"/>
    </w:pPr>
    <w:rPr>
      <w:rFonts w:ascii="Calibri" w:eastAsia="Calibri" w:hAnsi="Calibri" w:cs="Calibri"/>
      <w:kern w:val="0"/>
      <w:sz w:val="24"/>
      <w:lang w:val="en-GB"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FD74CE"/>
    <w:rPr>
      <w:vertAlign w:val="superscript"/>
    </w:rPr>
  </w:style>
  <w:style w:type="paragraph" w:styleId="FootnoteText">
    <w:name w:val="footnote text"/>
    <w:basedOn w:val="Normal"/>
    <w:link w:val="FootnoteTextChar"/>
    <w:uiPriority w:val="99"/>
    <w:unhideWhenUsed/>
    <w:rsid w:val="00FD74CE"/>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FD74CE"/>
    <w:rPr>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Dinant Kistemaker</dc:creator>
  <cp:keywords/>
  <dc:description/>
  <cp:lastModifiedBy>Dinant Kistemaker</cp:lastModifiedBy>
  <cp:revision>1</cp:revision>
  <dcterms:created xsi:type="dcterms:W3CDTF">2023-08-29T09:01:00Z</dcterms:created>
  <dcterms:modified xsi:type="dcterms:W3CDTF">2023-08-29T09:02:00Z</dcterms:modified>
</cp:coreProperties>
</file>