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Отчет по ГКУ РБ Транспортное управление</w:t>
        <w:cr/>
        <w:t>за фактически проведенные предрейсовые и</w:t>
        <w:cr/>
        <w:t>послерейсовые медицинские осмотры</w:t>
        <w:cr/>
        <w:t>за сентябрь месяц 2020 года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"/>
          <w:right w:type="dxa" w:w="50"/>
        </w:tblCellMar>
      </w:tblP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№ п/п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Число отчетного месяца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Общее количество мед.осмотров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предрейсовых мед.осмотров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водителей, допущенных к работе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водителей, не допущенных к работе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послерейсовых мед.осмотров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/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Итого: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Разработано ©MDF-lab средствами Java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2020-10-06T18:51:31Z</dcterms:created>
  <dc:creator>Apache POI</dc:creator>
</cp:coreProperties>
</file>