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3F422"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 xml:space="preserve">МИНИСТЕРСТВО НАУКИ И ВЫСШЕГО ОБРАЗОВАНИЯ РФ </w:t>
      </w:r>
    </w:p>
    <w:p w14:paraId="7B5987F3"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 xml:space="preserve">ФЕДЕРАЛЬНОЕ ГОСУДАРСТВЕННОЕ АВТОНОМНОЕ </w:t>
      </w:r>
    </w:p>
    <w:p w14:paraId="34C1800C"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 xml:space="preserve">ОБРАЗОВАТЕЛЬНОЕ УЧРЕЖДЕНИЕ ВЫСШЕГО ОБРАЗОВАНИЯ </w:t>
      </w:r>
    </w:p>
    <w:p w14:paraId="7E5A0F1E"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«МОСКОВСКИЙ ПОЛИТЕХНИЧЕСКИЙ УНИВЕРСИТЕТ»</w:t>
      </w:r>
    </w:p>
    <w:p w14:paraId="6002EC08" w14:textId="77777777" w:rsidR="009E5DE4" w:rsidRPr="009E5DE4" w:rsidRDefault="009E5DE4" w:rsidP="009E5DE4">
      <w:pPr>
        <w:jc w:val="center"/>
        <w:rPr>
          <w:rFonts w:ascii="Times New Roman" w:eastAsia="Times New Roman" w:hAnsi="Times New Roman" w:cs="Times New Roman"/>
          <w:bCs/>
          <w:color w:val="000000"/>
          <w:sz w:val="24"/>
        </w:rPr>
      </w:pPr>
    </w:p>
    <w:p w14:paraId="601EA72E" w14:textId="475A2E69" w:rsidR="009E5DE4" w:rsidRPr="00B111FA" w:rsidRDefault="009E5DE4" w:rsidP="009E5DE4">
      <w:pPr>
        <w:jc w:val="center"/>
        <w:rPr>
          <w:rFonts w:ascii="Times New Roman" w:eastAsia="Times New Roman" w:hAnsi="Times New Roman" w:cs="Times New Roman"/>
          <w:bCs/>
          <w:color w:val="000000"/>
          <w:sz w:val="40"/>
        </w:rPr>
      </w:pPr>
      <w:r w:rsidRPr="00B111FA">
        <w:rPr>
          <w:rFonts w:ascii="Times New Roman" w:eastAsia="Times New Roman" w:hAnsi="Times New Roman" w:cs="Times New Roman"/>
          <w:bCs/>
          <w:color w:val="000000"/>
          <w:sz w:val="40"/>
        </w:rPr>
        <w:t>Ответы на вопросы</w:t>
      </w:r>
    </w:p>
    <w:p w14:paraId="1300862D" w14:textId="77777777" w:rsidR="009E5DE4" w:rsidRPr="009E5DE4" w:rsidRDefault="009E5DE4" w:rsidP="009E5DE4">
      <w:pPr>
        <w:jc w:val="center"/>
        <w:rPr>
          <w:rFonts w:ascii="Times New Roman" w:eastAsia="Times New Roman" w:hAnsi="Times New Roman" w:cs="Times New Roman"/>
          <w:bCs/>
          <w:color w:val="000000"/>
          <w:sz w:val="24"/>
        </w:rPr>
      </w:pPr>
    </w:p>
    <w:p w14:paraId="1628267F" w14:textId="77777777" w:rsidR="009E5DE4" w:rsidRPr="009E5DE4" w:rsidRDefault="009E5DE4" w:rsidP="009E5DE4">
      <w:pPr>
        <w:jc w:val="center"/>
        <w:rPr>
          <w:rFonts w:ascii="Times New Roman" w:eastAsia="Times New Roman" w:hAnsi="Times New Roman" w:cs="Times New Roman"/>
          <w:bCs/>
          <w:color w:val="000000"/>
          <w:sz w:val="24"/>
        </w:rPr>
      </w:pPr>
    </w:p>
    <w:p w14:paraId="1D5987D1" w14:textId="77777777" w:rsidR="009E5DE4" w:rsidRPr="009E5DE4" w:rsidRDefault="009E5DE4" w:rsidP="009E5DE4">
      <w:pPr>
        <w:jc w:val="center"/>
        <w:rPr>
          <w:rFonts w:ascii="Times New Roman" w:eastAsia="Times New Roman" w:hAnsi="Times New Roman" w:cs="Times New Roman"/>
          <w:bCs/>
          <w:color w:val="000000"/>
          <w:sz w:val="24"/>
        </w:rPr>
      </w:pPr>
    </w:p>
    <w:p w14:paraId="0EBC20D0" w14:textId="77777777" w:rsidR="009E5DE4" w:rsidRPr="009E5DE4" w:rsidRDefault="009E5DE4" w:rsidP="009E5DE4">
      <w:pPr>
        <w:jc w:val="center"/>
        <w:rPr>
          <w:rFonts w:ascii="Times New Roman" w:eastAsia="Times New Roman" w:hAnsi="Times New Roman" w:cs="Times New Roman"/>
          <w:bCs/>
          <w:color w:val="000000"/>
          <w:sz w:val="24"/>
        </w:rPr>
      </w:pPr>
    </w:p>
    <w:p w14:paraId="624394C4" w14:textId="77777777" w:rsidR="009E5DE4" w:rsidRPr="009E5DE4" w:rsidRDefault="009E5DE4" w:rsidP="009E5DE4">
      <w:pPr>
        <w:jc w:val="center"/>
        <w:rPr>
          <w:rFonts w:ascii="Times New Roman" w:eastAsia="Times New Roman" w:hAnsi="Times New Roman" w:cs="Times New Roman"/>
          <w:bCs/>
          <w:color w:val="000000"/>
          <w:sz w:val="24"/>
        </w:rPr>
      </w:pPr>
    </w:p>
    <w:p w14:paraId="55AF0ECD" w14:textId="77777777" w:rsidR="009E5DE4" w:rsidRPr="009E5DE4" w:rsidRDefault="009E5DE4" w:rsidP="009E5DE4">
      <w:pPr>
        <w:jc w:val="center"/>
        <w:rPr>
          <w:rFonts w:ascii="Times New Roman" w:eastAsia="Times New Roman" w:hAnsi="Times New Roman" w:cs="Times New Roman"/>
          <w:bCs/>
          <w:color w:val="000000"/>
          <w:sz w:val="24"/>
        </w:rPr>
      </w:pPr>
    </w:p>
    <w:p w14:paraId="37D7A205" w14:textId="77777777" w:rsidR="009E5DE4" w:rsidRPr="009E5DE4" w:rsidRDefault="009E5DE4" w:rsidP="009E5DE4">
      <w:pPr>
        <w:jc w:val="center"/>
        <w:rPr>
          <w:rFonts w:ascii="Times New Roman" w:eastAsia="Times New Roman" w:hAnsi="Times New Roman" w:cs="Times New Roman"/>
          <w:bCs/>
          <w:color w:val="000000"/>
          <w:sz w:val="24"/>
        </w:rPr>
      </w:pPr>
    </w:p>
    <w:p w14:paraId="666F6198" w14:textId="77777777" w:rsidR="009E5DE4" w:rsidRPr="009E5DE4" w:rsidRDefault="009E5DE4" w:rsidP="009E5DE4">
      <w:pPr>
        <w:jc w:val="center"/>
        <w:rPr>
          <w:rFonts w:ascii="Times New Roman" w:eastAsia="Times New Roman" w:hAnsi="Times New Roman" w:cs="Times New Roman"/>
          <w:bCs/>
          <w:color w:val="000000"/>
          <w:sz w:val="24"/>
        </w:rPr>
      </w:pPr>
    </w:p>
    <w:p w14:paraId="5A0004DF" w14:textId="77777777" w:rsidR="009E5DE4" w:rsidRPr="009E5DE4" w:rsidRDefault="009E5DE4" w:rsidP="009E5DE4">
      <w:pPr>
        <w:jc w:val="center"/>
        <w:rPr>
          <w:rFonts w:ascii="Times New Roman" w:eastAsia="Times New Roman" w:hAnsi="Times New Roman" w:cs="Times New Roman"/>
          <w:bCs/>
          <w:color w:val="000000"/>
          <w:sz w:val="24"/>
        </w:rPr>
      </w:pPr>
    </w:p>
    <w:p w14:paraId="4DC7B421" w14:textId="77777777" w:rsidR="009E5DE4" w:rsidRPr="009E5DE4" w:rsidRDefault="009E5DE4" w:rsidP="009E5DE4">
      <w:pPr>
        <w:jc w:val="center"/>
        <w:rPr>
          <w:rFonts w:ascii="Times New Roman" w:eastAsia="Times New Roman" w:hAnsi="Times New Roman" w:cs="Times New Roman"/>
          <w:bCs/>
          <w:color w:val="000000"/>
          <w:sz w:val="24"/>
        </w:rPr>
      </w:pPr>
    </w:p>
    <w:p w14:paraId="27646B16" w14:textId="77777777" w:rsidR="009E5DE4" w:rsidRPr="009E5DE4" w:rsidRDefault="009E5DE4" w:rsidP="004B471A">
      <w:pPr>
        <w:rPr>
          <w:rFonts w:ascii="Times New Roman" w:eastAsia="Times New Roman" w:hAnsi="Times New Roman" w:cs="Times New Roman"/>
          <w:bCs/>
          <w:color w:val="000000"/>
          <w:sz w:val="24"/>
        </w:rPr>
      </w:pPr>
    </w:p>
    <w:p w14:paraId="526CF9E4" w14:textId="77777777" w:rsidR="009E5DE4" w:rsidRPr="009E5DE4" w:rsidRDefault="009E5DE4" w:rsidP="009E5DE4">
      <w:pPr>
        <w:jc w:val="center"/>
        <w:rPr>
          <w:rFonts w:ascii="Times New Roman" w:eastAsia="Times New Roman" w:hAnsi="Times New Roman" w:cs="Times New Roman"/>
          <w:bCs/>
          <w:color w:val="000000"/>
          <w:sz w:val="24"/>
        </w:rPr>
      </w:pPr>
    </w:p>
    <w:p w14:paraId="39BB83EF" w14:textId="514506E3" w:rsidR="009E5DE4" w:rsidRPr="009E5DE4" w:rsidRDefault="009E5DE4" w:rsidP="00CB3CC8">
      <w:pPr>
        <w:jc w:val="right"/>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Работу выполнил</w:t>
      </w:r>
      <w:r w:rsidR="00CB3CC8">
        <w:rPr>
          <w:rFonts w:ascii="Times New Roman" w:eastAsia="Times New Roman" w:hAnsi="Times New Roman" w:cs="Times New Roman"/>
          <w:bCs/>
          <w:color w:val="000000"/>
          <w:sz w:val="24"/>
        </w:rPr>
        <w:t>и</w:t>
      </w:r>
    </w:p>
    <w:p w14:paraId="69C13513" w14:textId="3129BCD6" w:rsidR="009E5DE4" w:rsidRPr="009E5DE4" w:rsidRDefault="009E5DE4" w:rsidP="00CB3CC8">
      <w:pPr>
        <w:jc w:val="right"/>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 xml:space="preserve">студенты группы </w:t>
      </w:r>
      <w:r w:rsidR="00B111FA">
        <w:rPr>
          <w:rFonts w:ascii="Times New Roman" w:eastAsia="Times New Roman" w:hAnsi="Times New Roman" w:cs="Times New Roman"/>
          <w:bCs/>
          <w:color w:val="000000"/>
          <w:sz w:val="24"/>
        </w:rPr>
        <w:t>19</w:t>
      </w:r>
      <w:r w:rsidRPr="009E5DE4">
        <w:rPr>
          <w:rFonts w:ascii="Times New Roman" w:eastAsia="Times New Roman" w:hAnsi="Times New Roman" w:cs="Times New Roman"/>
          <w:bCs/>
          <w:color w:val="000000"/>
          <w:sz w:val="24"/>
        </w:rPr>
        <w:t>1-351:</w:t>
      </w:r>
    </w:p>
    <w:p w14:paraId="341DFE28" w14:textId="58BC4DB2" w:rsidR="009E5DE4" w:rsidRDefault="00B111FA" w:rsidP="00CB3CC8">
      <w:pPr>
        <w:jc w:val="right"/>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Валявский А</w:t>
      </w:r>
      <w:r w:rsidR="009E5DE4" w:rsidRPr="009E5DE4">
        <w:rPr>
          <w:rFonts w:ascii="Times New Roman" w:eastAsia="Times New Roman" w:hAnsi="Times New Roman" w:cs="Times New Roman"/>
          <w:bCs/>
          <w:color w:val="000000"/>
          <w:sz w:val="24"/>
        </w:rPr>
        <w:t>.</w:t>
      </w:r>
      <w:r>
        <w:rPr>
          <w:rFonts w:ascii="Times New Roman" w:eastAsia="Times New Roman" w:hAnsi="Times New Roman" w:cs="Times New Roman"/>
          <w:bCs/>
          <w:color w:val="000000"/>
          <w:sz w:val="24"/>
        </w:rPr>
        <w:t>А.</w:t>
      </w:r>
    </w:p>
    <w:p w14:paraId="29B1F78B" w14:textId="181BB823" w:rsidR="009069F7" w:rsidRPr="009E5DE4" w:rsidRDefault="00B111FA" w:rsidP="00CB3CC8">
      <w:pPr>
        <w:jc w:val="right"/>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Герасименко Д.А.</w:t>
      </w:r>
    </w:p>
    <w:p w14:paraId="7DAC1FB7" w14:textId="77777777" w:rsidR="009E5DE4" w:rsidRPr="009E5DE4" w:rsidRDefault="009E5DE4" w:rsidP="009E5DE4">
      <w:pPr>
        <w:jc w:val="center"/>
        <w:rPr>
          <w:rFonts w:ascii="Times New Roman" w:eastAsia="Times New Roman" w:hAnsi="Times New Roman" w:cs="Times New Roman"/>
          <w:bCs/>
          <w:color w:val="000000"/>
          <w:sz w:val="24"/>
        </w:rPr>
      </w:pPr>
    </w:p>
    <w:p w14:paraId="275D3FA7" w14:textId="77777777" w:rsidR="008B023F" w:rsidRDefault="008B023F" w:rsidP="009E5DE4">
      <w:pPr>
        <w:jc w:val="center"/>
        <w:rPr>
          <w:rFonts w:ascii="Times New Roman" w:eastAsia="Times New Roman" w:hAnsi="Times New Roman" w:cs="Times New Roman"/>
          <w:bCs/>
          <w:color w:val="000000"/>
          <w:sz w:val="24"/>
        </w:rPr>
      </w:pPr>
    </w:p>
    <w:p w14:paraId="4F12A936" w14:textId="77777777" w:rsidR="008B023F" w:rsidRDefault="008B023F" w:rsidP="009E5DE4">
      <w:pPr>
        <w:jc w:val="center"/>
        <w:rPr>
          <w:rFonts w:ascii="Times New Roman" w:eastAsia="Times New Roman" w:hAnsi="Times New Roman" w:cs="Times New Roman"/>
          <w:bCs/>
          <w:color w:val="000000"/>
          <w:sz w:val="24"/>
        </w:rPr>
      </w:pPr>
    </w:p>
    <w:p w14:paraId="45694C33" w14:textId="77777777" w:rsidR="008B023F" w:rsidRDefault="008B023F" w:rsidP="009E5DE4">
      <w:pPr>
        <w:jc w:val="center"/>
        <w:rPr>
          <w:rFonts w:ascii="Times New Roman" w:eastAsia="Times New Roman" w:hAnsi="Times New Roman" w:cs="Times New Roman"/>
          <w:bCs/>
          <w:color w:val="000000"/>
          <w:sz w:val="24"/>
        </w:rPr>
      </w:pPr>
    </w:p>
    <w:p w14:paraId="5D4F0140" w14:textId="1744BB44" w:rsidR="00671841" w:rsidRDefault="009E5DE4" w:rsidP="002F15E8">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Москва 2022 г.</w:t>
      </w:r>
    </w:p>
    <w:p w14:paraId="1942F61E" w14:textId="61916A9A" w:rsidR="00DB434D" w:rsidRPr="0069465C" w:rsidRDefault="00671841" w:rsidP="0069465C">
      <w:pPr>
        <w:jc w:val="center"/>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br w:type="page"/>
      </w:r>
      <w:r w:rsidR="009E7B56">
        <w:rPr>
          <w:rFonts w:ascii="Times New Roman" w:eastAsia="Times New Roman" w:hAnsi="Times New Roman" w:cs="Times New Roman"/>
          <w:b/>
          <w:color w:val="000000"/>
          <w:sz w:val="24"/>
        </w:rPr>
        <w:lastRenderedPageBreak/>
        <w:t xml:space="preserve">Ответы на </w:t>
      </w:r>
      <w:r w:rsidR="0001684F">
        <w:rPr>
          <w:rFonts w:ascii="Times New Roman" w:eastAsia="Times New Roman" w:hAnsi="Times New Roman" w:cs="Times New Roman"/>
          <w:b/>
          <w:color w:val="000000"/>
          <w:sz w:val="24"/>
        </w:rPr>
        <w:t>вопросы</w:t>
      </w:r>
    </w:p>
    <w:p w14:paraId="38E893AC" w14:textId="49CD84BE"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b/>
          <w:color w:val="000000"/>
          <w:sz w:val="24"/>
        </w:rPr>
      </w:pPr>
      <w:r w:rsidRPr="00B111FA">
        <w:rPr>
          <w:rFonts w:ascii="Times New Roman" w:eastAsia="Times New Roman" w:hAnsi="Times New Roman" w:cs="Times New Roman"/>
          <w:b/>
          <w:color w:val="000000"/>
          <w:sz w:val="24"/>
        </w:rPr>
        <w:t xml:space="preserve">Сфера деятельности </w:t>
      </w:r>
      <w:r w:rsidR="00B111FA">
        <w:rPr>
          <w:rFonts w:ascii="Times New Roman" w:eastAsia="Times New Roman" w:hAnsi="Times New Roman" w:cs="Times New Roman"/>
          <w:b/>
          <w:color w:val="000000"/>
          <w:sz w:val="24"/>
        </w:rPr>
        <w:t>ISO</w:t>
      </w:r>
      <w:r w:rsidRPr="00B111FA">
        <w:rPr>
          <w:rFonts w:ascii="Times New Roman" w:eastAsia="Times New Roman" w:hAnsi="Times New Roman" w:cs="Times New Roman"/>
          <w:b/>
          <w:color w:val="000000"/>
          <w:sz w:val="24"/>
        </w:rPr>
        <w:t xml:space="preserve"> и МЭК.</w:t>
      </w:r>
    </w:p>
    <w:p w14:paraId="0F00D841" w14:textId="423374B8" w:rsidR="00795B14" w:rsidRPr="00795B14" w:rsidRDefault="00795B14"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Сфера деятельности </w:t>
      </w:r>
      <w:r w:rsidR="00B111FA">
        <w:rPr>
          <w:rFonts w:ascii="Times New Roman" w:eastAsia="Times New Roman" w:hAnsi="Times New Roman" w:cs="Times New Roman"/>
          <w:color w:val="000000"/>
          <w:sz w:val="24"/>
        </w:rPr>
        <w:t>ISO</w:t>
      </w:r>
      <w:r>
        <w:rPr>
          <w:rFonts w:ascii="Times New Roman" w:eastAsia="Times New Roman" w:hAnsi="Times New Roman" w:cs="Times New Roman"/>
          <w:color w:val="000000"/>
          <w:sz w:val="24"/>
        </w:rPr>
        <w:t xml:space="preserve"> охватывает стандартизацию всех областей, кроме электротехники и электроники. Сфера деятельности МЭК охватывает стандартизацию в области электротехники и электроники. Также существует общий технический комитет, который занимается стандартизацией в области информационных технологий. </w:t>
      </w:r>
    </w:p>
    <w:p w14:paraId="4D75FEDB" w14:textId="7B52E1F8"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b/>
        </w:rPr>
      </w:pPr>
      <w:r w:rsidRPr="00B111FA">
        <w:rPr>
          <w:rFonts w:ascii="Times New Roman" w:eastAsia="Times New Roman" w:hAnsi="Times New Roman" w:cs="Times New Roman"/>
          <w:b/>
          <w:color w:val="000000"/>
          <w:sz w:val="24"/>
        </w:rPr>
        <w:t xml:space="preserve">Состав </w:t>
      </w:r>
      <w:r w:rsidR="00B111FA" w:rsidRPr="00B111FA">
        <w:rPr>
          <w:rFonts w:ascii="Times New Roman" w:eastAsia="Times New Roman" w:hAnsi="Times New Roman" w:cs="Times New Roman"/>
          <w:b/>
          <w:color w:val="000000"/>
          <w:sz w:val="24"/>
        </w:rPr>
        <w:t>ISO</w:t>
      </w:r>
      <w:r w:rsidRPr="00B111FA">
        <w:rPr>
          <w:rFonts w:ascii="Times New Roman" w:eastAsia="Times New Roman" w:hAnsi="Times New Roman" w:cs="Times New Roman"/>
          <w:b/>
          <w:color w:val="000000"/>
          <w:sz w:val="24"/>
        </w:rPr>
        <w:t>.</w:t>
      </w:r>
    </w:p>
    <w:p w14:paraId="1C7E6371" w14:textId="4F4A7C8C" w:rsidR="0039414E" w:rsidRDefault="00E45E4C"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Членами </w:t>
      </w:r>
      <w:r w:rsidR="00B111FA">
        <w:rPr>
          <w:rFonts w:ascii="Times New Roman" w:hAnsi="Times New Roman" w:cs="Times New Roman"/>
          <w:sz w:val="24"/>
          <w:szCs w:val="24"/>
        </w:rPr>
        <w:t>ISO</w:t>
      </w:r>
      <w:r>
        <w:rPr>
          <w:rFonts w:ascii="Times New Roman" w:hAnsi="Times New Roman" w:cs="Times New Roman"/>
          <w:sz w:val="24"/>
          <w:szCs w:val="24"/>
        </w:rPr>
        <w:t xml:space="preserve"> являются 165 стран. Существуют три категории членства в организации:</w:t>
      </w:r>
    </w:p>
    <w:p w14:paraId="1ADC2D72" w14:textId="42523DC6" w:rsidR="0039414E" w:rsidRPr="0039414E" w:rsidRDefault="0039414E" w:rsidP="00B111FA">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39414E">
        <w:rPr>
          <w:rFonts w:ascii="Times New Roman" w:hAnsi="Times New Roman" w:cs="Times New Roman"/>
          <w:sz w:val="24"/>
          <w:szCs w:val="24"/>
        </w:rPr>
        <w:t xml:space="preserve">Полноправные члены влияют на содержание разрабатываемых стандартов </w:t>
      </w:r>
      <w:r w:rsidR="00B111FA">
        <w:rPr>
          <w:rFonts w:ascii="Times New Roman" w:hAnsi="Times New Roman" w:cs="Times New Roman"/>
          <w:sz w:val="24"/>
          <w:szCs w:val="24"/>
        </w:rPr>
        <w:t>ISO</w:t>
      </w:r>
      <w:r w:rsidRPr="0039414E">
        <w:rPr>
          <w:rFonts w:ascii="Times New Roman" w:hAnsi="Times New Roman" w:cs="Times New Roman"/>
          <w:sz w:val="24"/>
          <w:szCs w:val="24"/>
        </w:rPr>
        <w:t xml:space="preserve"> и стратегию, посредством участия в голосовании и международных заседаниях. Полноправные члены имеют право продажи и принятия международных стандартов на национальном уровне.</w:t>
      </w:r>
    </w:p>
    <w:p w14:paraId="0BC8348D" w14:textId="13FBA401" w:rsidR="0039414E" w:rsidRPr="0039414E" w:rsidRDefault="0039414E" w:rsidP="00B111FA">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39414E">
        <w:rPr>
          <w:rFonts w:ascii="Times New Roman" w:hAnsi="Times New Roman" w:cs="Times New Roman"/>
          <w:sz w:val="24"/>
          <w:szCs w:val="24"/>
        </w:rPr>
        <w:t xml:space="preserve">Члены-корреспонденты наблюдают за разработкой стандартов </w:t>
      </w:r>
      <w:r w:rsidR="00B111FA">
        <w:rPr>
          <w:rFonts w:ascii="Times New Roman" w:hAnsi="Times New Roman" w:cs="Times New Roman"/>
          <w:sz w:val="24"/>
          <w:szCs w:val="24"/>
        </w:rPr>
        <w:t>ISO</w:t>
      </w:r>
      <w:r w:rsidRPr="0039414E">
        <w:rPr>
          <w:rFonts w:ascii="Times New Roman" w:hAnsi="Times New Roman" w:cs="Times New Roman"/>
          <w:sz w:val="24"/>
          <w:szCs w:val="24"/>
        </w:rPr>
        <w:t xml:space="preserve"> и стратегией путем просмотра результатов голосования, так как не имеют права голосования, и по средством участия в международных заседаниях в качестве наблюдателя. Члены-корреспонденты имеют право продажи и принятия международных стандартов на национальном уровне.</w:t>
      </w:r>
    </w:p>
    <w:p w14:paraId="60428A70" w14:textId="2B1A69C3" w:rsidR="00E45E4C" w:rsidRPr="0039414E" w:rsidRDefault="0039414E" w:rsidP="00B111FA">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39414E">
        <w:rPr>
          <w:rFonts w:ascii="Times New Roman" w:hAnsi="Times New Roman" w:cs="Times New Roman"/>
          <w:sz w:val="24"/>
          <w:szCs w:val="24"/>
        </w:rPr>
        <w:t xml:space="preserve">Члены-подписчики получают актуальную информацию о работах, проводимых в </w:t>
      </w:r>
      <w:r w:rsidR="00B111FA">
        <w:rPr>
          <w:rFonts w:ascii="Times New Roman" w:hAnsi="Times New Roman" w:cs="Times New Roman"/>
          <w:sz w:val="24"/>
          <w:szCs w:val="24"/>
        </w:rPr>
        <w:t>ISO</w:t>
      </w:r>
      <w:r w:rsidRPr="0039414E">
        <w:rPr>
          <w:rFonts w:ascii="Times New Roman" w:hAnsi="Times New Roman" w:cs="Times New Roman"/>
          <w:sz w:val="24"/>
          <w:szCs w:val="24"/>
        </w:rPr>
        <w:t>, но не могут принимать участие в работе. Члены-подписчики не имеют право продажи и принятия международных стандартов на национальном уровне</w:t>
      </w:r>
      <w:r w:rsidR="00F618EC">
        <w:rPr>
          <w:rFonts w:ascii="Times New Roman" w:hAnsi="Times New Roman" w:cs="Times New Roman"/>
          <w:sz w:val="24"/>
          <w:szCs w:val="24"/>
        </w:rPr>
        <w:t>.</w:t>
      </w:r>
    </w:p>
    <w:p w14:paraId="42BEFB70" w14:textId="41C5FB43"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b/>
        </w:rPr>
      </w:pPr>
      <w:r w:rsidRPr="00B111FA">
        <w:rPr>
          <w:rFonts w:ascii="Times New Roman" w:eastAsia="Times New Roman" w:hAnsi="Times New Roman" w:cs="Times New Roman"/>
          <w:b/>
          <w:color w:val="000000"/>
          <w:sz w:val="24"/>
        </w:rPr>
        <w:t>Состав МЭК.</w:t>
      </w:r>
    </w:p>
    <w:p w14:paraId="63451B45" w14:textId="0CBC051F" w:rsidR="00D07055" w:rsidRDefault="00D07055"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Членами МЭК являются только признанные организации национальных стандартов. На данный момент членами организации являются</w:t>
      </w:r>
      <w:r w:rsidR="00C25E81">
        <w:rPr>
          <w:rFonts w:ascii="Times New Roman" w:hAnsi="Times New Roman" w:cs="Times New Roman"/>
          <w:sz w:val="24"/>
          <w:szCs w:val="24"/>
        </w:rPr>
        <w:t xml:space="preserve"> 88</w:t>
      </w:r>
      <w:r>
        <w:rPr>
          <w:rFonts w:ascii="Times New Roman" w:hAnsi="Times New Roman" w:cs="Times New Roman"/>
          <w:sz w:val="24"/>
          <w:szCs w:val="24"/>
        </w:rPr>
        <w:t xml:space="preserve"> стран</w:t>
      </w:r>
      <w:r w:rsidR="00C25E81">
        <w:rPr>
          <w:rFonts w:ascii="Times New Roman" w:hAnsi="Times New Roman" w:cs="Times New Roman"/>
          <w:sz w:val="24"/>
          <w:szCs w:val="24"/>
        </w:rPr>
        <w:t xml:space="preserve">. Существует 2 уровня членства в организации: </w:t>
      </w:r>
    </w:p>
    <w:p w14:paraId="241D3787" w14:textId="20E7979A" w:rsidR="00C25E81" w:rsidRDefault="00C25E81" w:rsidP="00B111FA">
      <w:pPr>
        <w:pStyle w:val="af9"/>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C25E81">
        <w:rPr>
          <w:rFonts w:ascii="Times New Roman" w:hAnsi="Times New Roman" w:cs="Times New Roman"/>
          <w:sz w:val="24"/>
          <w:szCs w:val="24"/>
        </w:rPr>
        <w:t>Действительный член МЭК</w:t>
      </w:r>
      <w:r>
        <w:rPr>
          <w:rFonts w:ascii="Times New Roman" w:hAnsi="Times New Roman" w:cs="Times New Roman"/>
          <w:sz w:val="24"/>
          <w:szCs w:val="24"/>
        </w:rPr>
        <w:t xml:space="preserve"> (62 страны).</w:t>
      </w:r>
      <w:r w:rsidR="006B1A5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1A56" w:rsidRPr="006B1A56">
        <w:rPr>
          <w:rFonts w:ascii="Times New Roman" w:hAnsi="Times New Roman" w:cs="Times New Roman"/>
          <w:sz w:val="24"/>
          <w:szCs w:val="24"/>
        </w:rPr>
        <w:t>Действительные члены МЭК после уплаты ежегодного членского взноса имеют возможность направлять экспертов для активного участия в работе любого технического комитета/подкомитета по своему выбору. Они также могут претендовать на руководящие должности и функции в МЭК и иметь право голоса в Генеральной Ассамблее МЭК</w:t>
      </w:r>
      <w:r w:rsidR="006B1A56">
        <w:rPr>
          <w:rFonts w:ascii="Times New Roman" w:hAnsi="Times New Roman" w:cs="Times New Roman"/>
          <w:sz w:val="24"/>
          <w:szCs w:val="24"/>
        </w:rPr>
        <w:t>.</w:t>
      </w:r>
    </w:p>
    <w:p w14:paraId="6FAFB2D4" w14:textId="74543E57" w:rsidR="006B1A56" w:rsidRPr="00C25E81" w:rsidRDefault="007346B0" w:rsidP="00B111FA">
      <w:pPr>
        <w:pStyle w:val="af9"/>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7346B0">
        <w:rPr>
          <w:rFonts w:ascii="Times New Roman" w:hAnsi="Times New Roman" w:cs="Times New Roman"/>
          <w:sz w:val="24"/>
          <w:szCs w:val="24"/>
        </w:rPr>
        <w:t>Ассоциированный член МЭК</w:t>
      </w:r>
      <w:r>
        <w:rPr>
          <w:rFonts w:ascii="Times New Roman" w:hAnsi="Times New Roman" w:cs="Times New Roman"/>
          <w:sz w:val="24"/>
          <w:szCs w:val="24"/>
        </w:rPr>
        <w:t xml:space="preserve"> (26 стран). </w:t>
      </w:r>
      <w:r w:rsidR="00A91AD7" w:rsidRPr="00A91AD7">
        <w:rPr>
          <w:rFonts w:ascii="Times New Roman" w:hAnsi="Times New Roman" w:cs="Times New Roman"/>
          <w:sz w:val="24"/>
          <w:szCs w:val="24"/>
        </w:rPr>
        <w:t xml:space="preserve">Ассоциированные члены МЭК могут получить доступ ко всем рабочим документам и направить экспертов </w:t>
      </w:r>
      <w:r w:rsidR="00A91AD7" w:rsidRPr="00A91AD7">
        <w:rPr>
          <w:rFonts w:ascii="Times New Roman" w:hAnsi="Times New Roman" w:cs="Times New Roman"/>
          <w:sz w:val="24"/>
          <w:szCs w:val="24"/>
        </w:rPr>
        <w:lastRenderedPageBreak/>
        <w:t>для участия в ограниченном числе технических комитетов/подкомитетов. Они не могут занимать руководящие должности и функции в МЭК и не имеют права голоса в Генеральной Ассамблее МЭК.</w:t>
      </w:r>
    </w:p>
    <w:p w14:paraId="33C0D666" w14:textId="65266DD9"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b/>
        </w:rPr>
      </w:pPr>
      <w:r w:rsidRPr="00B111FA">
        <w:rPr>
          <w:rFonts w:ascii="Times New Roman" w:eastAsia="Times New Roman" w:hAnsi="Times New Roman" w:cs="Times New Roman"/>
          <w:b/>
          <w:color w:val="000000"/>
          <w:sz w:val="24"/>
        </w:rPr>
        <w:t xml:space="preserve">Организационная структура </w:t>
      </w:r>
      <w:r w:rsidR="00B111FA" w:rsidRPr="00B111FA">
        <w:rPr>
          <w:rFonts w:ascii="Times New Roman" w:eastAsia="Times New Roman" w:hAnsi="Times New Roman" w:cs="Times New Roman"/>
          <w:b/>
          <w:color w:val="000000"/>
          <w:sz w:val="24"/>
        </w:rPr>
        <w:t>ISO</w:t>
      </w:r>
      <w:r w:rsidRPr="00B111FA">
        <w:rPr>
          <w:rFonts w:ascii="Times New Roman" w:eastAsia="Times New Roman" w:hAnsi="Times New Roman" w:cs="Times New Roman"/>
          <w:b/>
          <w:color w:val="000000"/>
          <w:sz w:val="24"/>
        </w:rPr>
        <w:t>.</w:t>
      </w:r>
    </w:p>
    <w:p w14:paraId="4E72715D" w14:textId="536840D1" w:rsidR="00200B58" w:rsidRDefault="00200B58"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организационную структуру входят руководящие и рабочие органы. Состав руководящих органов:</w:t>
      </w:r>
    </w:p>
    <w:p w14:paraId="618B77E7" w14:textId="5EED5F15" w:rsidR="00200B58" w:rsidRDefault="00200B58" w:rsidP="00B111FA">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200B58">
        <w:rPr>
          <w:rFonts w:ascii="Times New Roman" w:hAnsi="Times New Roman" w:cs="Times New Roman"/>
          <w:sz w:val="24"/>
          <w:szCs w:val="24"/>
        </w:rPr>
        <w:t xml:space="preserve">Генеральная ассамблея </w:t>
      </w:r>
      <w:r>
        <w:rPr>
          <w:rFonts w:ascii="Times New Roman" w:hAnsi="Times New Roman" w:cs="Times New Roman"/>
          <w:sz w:val="24"/>
          <w:szCs w:val="24"/>
        </w:rPr>
        <w:t>–</w:t>
      </w:r>
      <w:r w:rsidRPr="00200B58">
        <w:rPr>
          <w:rFonts w:ascii="Times New Roman" w:hAnsi="Times New Roman" w:cs="Times New Roman"/>
          <w:sz w:val="24"/>
          <w:szCs w:val="24"/>
        </w:rPr>
        <w:t xml:space="preserve"> это собрание должностных лиц и делегатов, назначенных комитетами-членами.</w:t>
      </w:r>
    </w:p>
    <w:p w14:paraId="53659FB0" w14:textId="760B0F31" w:rsidR="00D60924" w:rsidRDefault="00682179" w:rsidP="00B111FA">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Совет </w:t>
      </w:r>
      <w:r w:rsidR="00B111FA">
        <w:rPr>
          <w:rFonts w:ascii="Times New Roman" w:hAnsi="Times New Roman" w:cs="Times New Roman"/>
          <w:sz w:val="24"/>
          <w:szCs w:val="24"/>
        </w:rPr>
        <w:t>ISO</w:t>
      </w:r>
      <w:r>
        <w:rPr>
          <w:rFonts w:ascii="Times New Roman" w:hAnsi="Times New Roman" w:cs="Times New Roman"/>
          <w:sz w:val="24"/>
          <w:szCs w:val="24"/>
        </w:rPr>
        <w:t xml:space="preserve"> – </w:t>
      </w:r>
      <w:r w:rsidR="00B65E70">
        <w:rPr>
          <w:rFonts w:ascii="Times New Roman" w:hAnsi="Times New Roman" w:cs="Times New Roman"/>
          <w:sz w:val="24"/>
          <w:szCs w:val="24"/>
        </w:rPr>
        <w:t xml:space="preserve">руководит </w:t>
      </w:r>
      <w:r w:rsidR="00B65E70" w:rsidRPr="00682179">
        <w:rPr>
          <w:rFonts w:ascii="Times New Roman" w:hAnsi="Times New Roman" w:cs="Times New Roman"/>
          <w:sz w:val="24"/>
          <w:szCs w:val="24"/>
        </w:rPr>
        <w:t>работой</w:t>
      </w:r>
      <w:r w:rsidRPr="00682179">
        <w:rPr>
          <w:rFonts w:ascii="Times New Roman" w:hAnsi="Times New Roman" w:cs="Times New Roman"/>
          <w:sz w:val="24"/>
          <w:szCs w:val="24"/>
        </w:rPr>
        <w:t xml:space="preserve"> </w:t>
      </w:r>
      <w:r w:rsidR="00B111FA">
        <w:rPr>
          <w:rFonts w:ascii="Times New Roman" w:hAnsi="Times New Roman" w:cs="Times New Roman"/>
          <w:sz w:val="24"/>
          <w:szCs w:val="24"/>
        </w:rPr>
        <w:t>ISO</w:t>
      </w:r>
      <w:r w:rsidRPr="00682179">
        <w:rPr>
          <w:rFonts w:ascii="Times New Roman" w:hAnsi="Times New Roman" w:cs="Times New Roman"/>
          <w:sz w:val="24"/>
          <w:szCs w:val="24"/>
        </w:rPr>
        <w:t xml:space="preserve"> в перерывах между сессиями Генеральной ассамблеи.</w:t>
      </w:r>
      <w:r w:rsidR="00B65E70">
        <w:rPr>
          <w:rFonts w:ascii="Times New Roman" w:hAnsi="Times New Roman" w:cs="Times New Roman"/>
          <w:sz w:val="24"/>
          <w:szCs w:val="24"/>
        </w:rPr>
        <w:t xml:space="preserve"> При совете существует ряд </w:t>
      </w:r>
      <w:r w:rsidR="00B65E70" w:rsidRPr="00B65E70">
        <w:rPr>
          <w:rFonts w:ascii="Times New Roman" w:hAnsi="Times New Roman" w:cs="Times New Roman"/>
          <w:sz w:val="24"/>
          <w:szCs w:val="24"/>
        </w:rPr>
        <w:t>органов, обеспечивающих руководство и управление по конкретным вопросам</w:t>
      </w:r>
      <w:r w:rsidR="00FC6D20">
        <w:rPr>
          <w:rFonts w:ascii="Times New Roman" w:hAnsi="Times New Roman" w:cs="Times New Roman"/>
          <w:sz w:val="24"/>
          <w:szCs w:val="24"/>
        </w:rPr>
        <w:t xml:space="preserve">. </w:t>
      </w:r>
    </w:p>
    <w:p w14:paraId="3D787269" w14:textId="1CEF2C58" w:rsidR="00D9310A" w:rsidRDefault="00D9310A" w:rsidP="00B111FA">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Техническое руководящее бюро. Данный орган о</w:t>
      </w:r>
      <w:r w:rsidRPr="00D9310A">
        <w:rPr>
          <w:rFonts w:ascii="Times New Roman" w:hAnsi="Times New Roman" w:cs="Times New Roman"/>
          <w:sz w:val="24"/>
          <w:szCs w:val="24"/>
        </w:rPr>
        <w:t>твечает за общее руководство структурой технических комитетов, которые занимаются разработкой стандартов, и любые стратегические консультативные органы, созданные по техническим вопросам.</w:t>
      </w:r>
    </w:p>
    <w:p w14:paraId="1E84E97D" w14:textId="23DDAF97" w:rsidR="000F1221" w:rsidRPr="000F1221" w:rsidRDefault="00C92354"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Рабочими органами являются технические </w:t>
      </w:r>
      <w:r w:rsidR="0050626C">
        <w:rPr>
          <w:rFonts w:ascii="Times New Roman" w:hAnsi="Times New Roman" w:cs="Times New Roman"/>
          <w:sz w:val="24"/>
          <w:szCs w:val="24"/>
        </w:rPr>
        <w:t>комитеты (</w:t>
      </w:r>
      <w:r>
        <w:rPr>
          <w:rFonts w:ascii="Times New Roman" w:hAnsi="Times New Roman" w:cs="Times New Roman"/>
          <w:sz w:val="24"/>
          <w:szCs w:val="24"/>
        </w:rPr>
        <w:t xml:space="preserve">ТК) и </w:t>
      </w:r>
      <w:r w:rsidR="0050626C">
        <w:rPr>
          <w:rFonts w:ascii="Times New Roman" w:hAnsi="Times New Roman" w:cs="Times New Roman"/>
          <w:sz w:val="24"/>
          <w:szCs w:val="24"/>
        </w:rPr>
        <w:t>подкомитеты (</w:t>
      </w:r>
      <w:r>
        <w:rPr>
          <w:rFonts w:ascii="Times New Roman" w:hAnsi="Times New Roman" w:cs="Times New Roman"/>
          <w:sz w:val="24"/>
          <w:szCs w:val="24"/>
        </w:rPr>
        <w:t>ПК), которые разрабатывают международные стандарты.</w:t>
      </w:r>
    </w:p>
    <w:p w14:paraId="07EDD150" w14:textId="28887194"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b/>
        </w:rPr>
      </w:pPr>
      <w:r w:rsidRPr="00B111FA">
        <w:rPr>
          <w:rFonts w:ascii="Times New Roman" w:eastAsia="Times New Roman" w:hAnsi="Times New Roman" w:cs="Times New Roman"/>
          <w:b/>
          <w:color w:val="000000"/>
          <w:sz w:val="24"/>
        </w:rPr>
        <w:t>Организационная структура МЭК.</w:t>
      </w:r>
    </w:p>
    <w:p w14:paraId="1579FA3C" w14:textId="74158B72" w:rsidR="00D2284A" w:rsidRDefault="00D2284A"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D2284A">
        <w:rPr>
          <w:rFonts w:ascii="Times New Roman" w:hAnsi="Times New Roman" w:cs="Times New Roman"/>
          <w:sz w:val="24"/>
          <w:szCs w:val="24"/>
        </w:rPr>
        <w:t>Совет является высшим органом управления МЭК. Он определяет политику МЭК, долгосрочную стратегию и финансовые задачи.</w:t>
      </w:r>
      <w:r w:rsidR="00446BC0" w:rsidRPr="00446BC0">
        <w:t xml:space="preserve"> </w:t>
      </w:r>
      <w:r w:rsidR="00446BC0" w:rsidRPr="00446BC0">
        <w:rPr>
          <w:rFonts w:ascii="Times New Roman" w:hAnsi="Times New Roman" w:cs="Times New Roman"/>
          <w:sz w:val="24"/>
          <w:szCs w:val="24"/>
        </w:rPr>
        <w:t>Совет делегирует полномочия по управление деятельностью МЭК Бюро Совета. Ответственность за управление стандартизацией, оценку соответствия и рыночную стратегию несут соответственно Бюро по управлению стандартизацией (SMB), Бюро по оценке соответствия (CAB) и Бюро по рыночной стратегии (MSB).</w:t>
      </w:r>
      <w:r w:rsidR="00446BC0">
        <w:rPr>
          <w:rFonts w:ascii="Times New Roman" w:hAnsi="Times New Roman" w:cs="Times New Roman"/>
          <w:sz w:val="24"/>
          <w:szCs w:val="24"/>
        </w:rPr>
        <w:t xml:space="preserve"> </w:t>
      </w:r>
      <w:r w:rsidR="00446BC0" w:rsidRPr="00446BC0">
        <w:rPr>
          <w:rFonts w:ascii="Times New Roman" w:hAnsi="Times New Roman" w:cs="Times New Roman"/>
          <w:sz w:val="24"/>
          <w:szCs w:val="24"/>
        </w:rPr>
        <w:t>Исполнительный комитет выполняет решения Совета и Бюро Совета. Он готовит повестку дня и документы для Бюро Совета, руководит работой Центрального бюро МЭК и осуществляет связь с национальными комитетами.</w:t>
      </w:r>
    </w:p>
    <w:p w14:paraId="79937C56" w14:textId="5508E7D1" w:rsidR="0070380D" w:rsidRPr="00D2284A" w:rsidRDefault="0070380D"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Рабочими органами являются технические комитеты (ТК) и подкомитеты (ПК), которые разрабатывают международные стандарты.</w:t>
      </w:r>
    </w:p>
    <w:p w14:paraId="49839DC3" w14:textId="7FBE7D0E"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b/>
        </w:rPr>
      </w:pPr>
      <w:r w:rsidRPr="00B111FA">
        <w:rPr>
          <w:rFonts w:ascii="Times New Roman" w:eastAsia="Times New Roman" w:hAnsi="Times New Roman" w:cs="Times New Roman"/>
          <w:b/>
          <w:color w:val="000000"/>
          <w:sz w:val="24"/>
        </w:rPr>
        <w:t xml:space="preserve">Технические комитеты </w:t>
      </w:r>
      <w:r w:rsidR="00B111FA" w:rsidRPr="00B111FA">
        <w:rPr>
          <w:rFonts w:ascii="Times New Roman" w:eastAsia="Times New Roman" w:hAnsi="Times New Roman" w:cs="Times New Roman"/>
          <w:b/>
          <w:color w:val="000000"/>
          <w:sz w:val="24"/>
        </w:rPr>
        <w:t>ISO</w:t>
      </w:r>
      <w:r w:rsidRPr="00B111FA">
        <w:rPr>
          <w:rFonts w:ascii="Times New Roman" w:eastAsia="Times New Roman" w:hAnsi="Times New Roman" w:cs="Times New Roman"/>
          <w:b/>
          <w:color w:val="000000"/>
          <w:sz w:val="24"/>
        </w:rPr>
        <w:t>.</w:t>
      </w:r>
    </w:p>
    <w:p w14:paraId="68FBF622" w14:textId="4405729A" w:rsidR="00D13A4D" w:rsidRPr="00B971EC" w:rsidRDefault="00B971EC"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организации </w:t>
      </w:r>
      <w:r w:rsidR="00B111FA">
        <w:rPr>
          <w:rFonts w:ascii="Times New Roman" w:hAnsi="Times New Roman" w:cs="Times New Roman"/>
          <w:sz w:val="24"/>
          <w:szCs w:val="24"/>
        </w:rPr>
        <w:t>ISO</w:t>
      </w:r>
      <w:r>
        <w:rPr>
          <w:rFonts w:ascii="Times New Roman" w:hAnsi="Times New Roman" w:cs="Times New Roman"/>
          <w:sz w:val="24"/>
          <w:szCs w:val="24"/>
        </w:rPr>
        <w:t xml:space="preserve"> существуют технические комитеты, которые разрабатывают международные стандарты. Каждый технические комитет отвечает за свою сферу деятельности. Например, ТК 8 «Суда и морская техника»</w:t>
      </w:r>
      <w:r w:rsidR="004C056F">
        <w:rPr>
          <w:rFonts w:ascii="Times New Roman" w:hAnsi="Times New Roman" w:cs="Times New Roman"/>
          <w:sz w:val="24"/>
          <w:szCs w:val="24"/>
        </w:rPr>
        <w:t xml:space="preserve">, занимается </w:t>
      </w:r>
      <w:r w:rsidR="007951A2">
        <w:rPr>
          <w:rFonts w:ascii="Times New Roman" w:hAnsi="Times New Roman" w:cs="Times New Roman"/>
          <w:sz w:val="24"/>
          <w:szCs w:val="24"/>
        </w:rPr>
        <w:t>стандартизацией проектирования</w:t>
      </w:r>
      <w:r w:rsidR="004C056F" w:rsidRPr="004C056F">
        <w:rPr>
          <w:rFonts w:ascii="Times New Roman" w:hAnsi="Times New Roman" w:cs="Times New Roman"/>
          <w:sz w:val="24"/>
          <w:szCs w:val="24"/>
        </w:rPr>
        <w:t>, строительства, обучения, конструктивных элементов, комплектующих деталей, оборудования, методов и технологий, используемых в судостроении</w:t>
      </w:r>
      <w:r w:rsidR="004C056F">
        <w:rPr>
          <w:rFonts w:ascii="Times New Roman" w:hAnsi="Times New Roman" w:cs="Times New Roman"/>
          <w:sz w:val="24"/>
          <w:szCs w:val="24"/>
        </w:rPr>
        <w:t xml:space="preserve">. </w:t>
      </w:r>
      <w:r w:rsidR="007951A2">
        <w:rPr>
          <w:rFonts w:ascii="Times New Roman" w:hAnsi="Times New Roman" w:cs="Times New Roman"/>
          <w:sz w:val="24"/>
          <w:szCs w:val="24"/>
        </w:rPr>
        <w:t xml:space="preserve">Однако в организации </w:t>
      </w:r>
      <w:r w:rsidR="00B111FA">
        <w:rPr>
          <w:rFonts w:ascii="Times New Roman" w:hAnsi="Times New Roman" w:cs="Times New Roman"/>
          <w:sz w:val="24"/>
          <w:szCs w:val="24"/>
        </w:rPr>
        <w:t>ISO</w:t>
      </w:r>
      <w:r w:rsidR="007951A2">
        <w:rPr>
          <w:rFonts w:ascii="Times New Roman" w:hAnsi="Times New Roman" w:cs="Times New Roman"/>
          <w:sz w:val="24"/>
          <w:szCs w:val="24"/>
        </w:rPr>
        <w:t xml:space="preserve"> нет ТК, отвечающих за стандартизацию в сфере электроники и </w:t>
      </w:r>
      <w:r w:rsidR="007951A2">
        <w:rPr>
          <w:rFonts w:ascii="Times New Roman" w:hAnsi="Times New Roman" w:cs="Times New Roman"/>
          <w:sz w:val="24"/>
          <w:szCs w:val="24"/>
        </w:rPr>
        <w:lastRenderedPageBreak/>
        <w:t xml:space="preserve">электротехники. </w:t>
      </w:r>
      <w:r w:rsidR="0009495F">
        <w:rPr>
          <w:rFonts w:ascii="Times New Roman" w:hAnsi="Times New Roman" w:cs="Times New Roman"/>
          <w:sz w:val="24"/>
          <w:szCs w:val="24"/>
        </w:rPr>
        <w:t xml:space="preserve">Также существует общий ТК </w:t>
      </w:r>
      <w:r w:rsidR="0009495F" w:rsidRPr="0009495F">
        <w:rPr>
          <w:rFonts w:ascii="Times New Roman" w:hAnsi="Times New Roman" w:cs="Times New Roman"/>
          <w:sz w:val="24"/>
          <w:szCs w:val="24"/>
        </w:rPr>
        <w:t xml:space="preserve">ISO/IEC JTC </w:t>
      </w:r>
      <w:r w:rsidR="0009495F">
        <w:rPr>
          <w:rFonts w:ascii="Times New Roman" w:hAnsi="Times New Roman" w:cs="Times New Roman"/>
          <w:sz w:val="24"/>
          <w:szCs w:val="24"/>
        </w:rPr>
        <w:t>1 «</w:t>
      </w:r>
      <w:r w:rsidR="00EE48BD">
        <w:rPr>
          <w:rFonts w:ascii="Times New Roman" w:hAnsi="Times New Roman" w:cs="Times New Roman"/>
          <w:sz w:val="24"/>
          <w:szCs w:val="24"/>
        </w:rPr>
        <w:t>Информационные</w:t>
      </w:r>
      <w:r w:rsidR="0009495F">
        <w:rPr>
          <w:rFonts w:ascii="Times New Roman" w:hAnsi="Times New Roman" w:cs="Times New Roman"/>
          <w:sz w:val="24"/>
          <w:szCs w:val="24"/>
        </w:rPr>
        <w:t xml:space="preserve"> технологии».</w:t>
      </w:r>
    </w:p>
    <w:p w14:paraId="5948286A" w14:textId="4817103A"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b/>
        </w:rPr>
      </w:pPr>
      <w:r w:rsidRPr="00B111FA">
        <w:rPr>
          <w:rFonts w:ascii="Times New Roman" w:eastAsia="Times New Roman" w:hAnsi="Times New Roman" w:cs="Times New Roman"/>
          <w:b/>
          <w:color w:val="000000"/>
          <w:sz w:val="24"/>
        </w:rPr>
        <w:t>Технические комитеты МЭК.</w:t>
      </w:r>
    </w:p>
    <w:p w14:paraId="37D65B96" w14:textId="14CC8510" w:rsidR="00710711" w:rsidRPr="00710711" w:rsidRDefault="00710711"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организации МЭК существуют технические комитеты, которые разрабатывают международные стандарты. Так как данная организация занимается стандартизацией в области электротехники и электроники, то ТК разрабатывают стандарты, связанные с данной сферой. Например, ТК 1 определяет </w:t>
      </w:r>
      <w:r w:rsidRPr="00710711">
        <w:rPr>
          <w:rFonts w:ascii="Times New Roman" w:hAnsi="Times New Roman" w:cs="Times New Roman"/>
          <w:sz w:val="24"/>
          <w:szCs w:val="24"/>
        </w:rPr>
        <w:t>термины и определения, используемые в различных электротехнических областях, и определить эквивалентность терминов, используемых на разных языках. Как следствие, подгот</w:t>
      </w:r>
      <w:r w:rsidR="00D361B2">
        <w:rPr>
          <w:rFonts w:ascii="Times New Roman" w:hAnsi="Times New Roman" w:cs="Times New Roman"/>
          <w:sz w:val="24"/>
          <w:szCs w:val="24"/>
        </w:rPr>
        <w:t>авливает</w:t>
      </w:r>
      <w:r w:rsidRPr="00710711">
        <w:rPr>
          <w:rFonts w:ascii="Times New Roman" w:hAnsi="Times New Roman" w:cs="Times New Roman"/>
          <w:sz w:val="24"/>
          <w:szCs w:val="24"/>
        </w:rPr>
        <w:t xml:space="preserve"> Международный электротехнический словарь, направленный на стандартизацию и координацию терминов, относящихся к электрическим наукам и технике, для использования в техническом языке и литературе, в преподавании, в технических спецификациях и в коммерческих обменах, а также для предоставления их эквивалентов на разных языках.</w:t>
      </w:r>
    </w:p>
    <w:p w14:paraId="40435DE6" w14:textId="4A26B10D"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b/>
          <w:color w:val="000000"/>
          <w:sz w:val="24"/>
        </w:rPr>
      </w:pPr>
      <w:r w:rsidRPr="00B111FA">
        <w:rPr>
          <w:rFonts w:ascii="Times New Roman" w:eastAsia="Times New Roman" w:hAnsi="Times New Roman" w:cs="Times New Roman"/>
          <w:b/>
          <w:color w:val="000000"/>
          <w:sz w:val="24"/>
        </w:rPr>
        <w:t xml:space="preserve">Порядок разработки стандартов </w:t>
      </w:r>
      <w:r w:rsidR="00B111FA" w:rsidRPr="00B111FA">
        <w:rPr>
          <w:rFonts w:ascii="Times New Roman" w:eastAsia="Times New Roman" w:hAnsi="Times New Roman" w:cs="Times New Roman"/>
          <w:b/>
          <w:color w:val="000000"/>
          <w:sz w:val="24"/>
        </w:rPr>
        <w:t>ISO</w:t>
      </w:r>
      <w:r w:rsidRPr="00B111FA">
        <w:rPr>
          <w:rFonts w:ascii="Times New Roman" w:eastAsia="Times New Roman" w:hAnsi="Times New Roman" w:cs="Times New Roman"/>
          <w:b/>
          <w:color w:val="000000"/>
          <w:sz w:val="24"/>
        </w:rPr>
        <w:t>.</w:t>
      </w:r>
    </w:p>
    <w:p w14:paraId="23225B45" w14:textId="7909844B" w:rsidR="0050626C" w:rsidRPr="0050626C" w:rsidRDefault="0050626C" w:rsidP="00B111F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Международные стандарты разрабатываются техническими комитетами </w:t>
      </w:r>
      <w:r w:rsidR="00B111FA">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(ТК) и подкомитетами (ПК) в ходе шести-стадийного процесса:</w:t>
      </w:r>
    </w:p>
    <w:p w14:paraId="781425AD" w14:textId="18ECA129" w:rsidR="0050626C" w:rsidRPr="0050626C" w:rsidRDefault="0050626C" w:rsidP="00B111FA">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Стадия 1: Стадия предложения</w:t>
      </w:r>
      <w:r w:rsidR="00E00170">
        <w:rPr>
          <w:rFonts w:ascii="Times New Roman" w:hAnsi="Times New Roman" w:cs="Times New Roman"/>
          <w:sz w:val="24"/>
          <w:szCs w:val="24"/>
        </w:rPr>
        <w:t xml:space="preserve"> – </w:t>
      </w:r>
      <w:r w:rsidRPr="0050626C">
        <w:rPr>
          <w:rFonts w:ascii="Times New Roman" w:eastAsia="Times New Roman" w:hAnsi="Times New Roman" w:cs="Times New Roman"/>
          <w:color w:val="000000"/>
          <w:sz w:val="24"/>
        </w:rPr>
        <w:t xml:space="preserve">Первый шаг в разработке международного стандарта </w:t>
      </w:r>
      <w:r w:rsidR="00E00170">
        <w:rPr>
          <w:rFonts w:ascii="Times New Roman" w:hAnsi="Times New Roman" w:cs="Times New Roman"/>
          <w:sz w:val="24"/>
          <w:szCs w:val="24"/>
        </w:rPr>
        <w:t xml:space="preserve">– </w:t>
      </w:r>
      <w:r w:rsidRPr="0050626C">
        <w:rPr>
          <w:rFonts w:ascii="Times New Roman" w:eastAsia="Times New Roman" w:hAnsi="Times New Roman" w:cs="Times New Roman"/>
          <w:color w:val="000000"/>
          <w:sz w:val="24"/>
        </w:rPr>
        <w:t>подтверждение того, что конкретный международный стандарт необходим. Новое предложение</w:t>
      </w:r>
      <w:r w:rsidR="00366C9B">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направляется на голосование членам соответствующего ТК или ПК, чтобы определить необходимость включения соответствующего пункта в программу работы.</w:t>
      </w:r>
    </w:p>
    <w:p w14:paraId="37F66638" w14:textId="203194AB" w:rsidR="0050626C" w:rsidRPr="0050626C" w:rsidRDefault="0050626C" w:rsidP="00B111FA">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2: Подготовительная стадия </w:t>
      </w:r>
      <w:r w:rsidR="004E376B">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Обычно для подготовки рабочего черновика ТК/ПК создаёт рабочую группу экспертов, председателем (созывающим членом) которой является лидер проекта. Могут приниматься различные редакции рабочих черновиков, до тех пор, пока рабочая группа не решит, что ею разработано наилучшее техническое решение рассматриваемой проблемы. </w:t>
      </w:r>
    </w:p>
    <w:p w14:paraId="02BC3C4D" w14:textId="154EACE4" w:rsidR="0050626C" w:rsidRPr="0050626C" w:rsidRDefault="0050626C" w:rsidP="00B111FA">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3: Стадия комитета </w:t>
      </w:r>
      <w:r w:rsidR="004E376B">
        <w:rPr>
          <w:rFonts w:ascii="Times New Roman" w:hAnsi="Times New Roman" w:cs="Times New Roman"/>
          <w:sz w:val="24"/>
          <w:szCs w:val="24"/>
        </w:rPr>
        <w:t>–</w:t>
      </w:r>
      <w:r w:rsidR="004E376B"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 xml:space="preserve">Как только первый черновик комитета готов, он регистрируется Главным Секретариатом </w:t>
      </w:r>
      <w:r w:rsidR="00B111FA">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w:t>
      </w:r>
      <w:r w:rsidR="000606EA">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Могут готовиться разные редакции черновика комитета до тех пор, пока не будет достигнут консенсус по техническому содержанию текста. Как только консенсус достигнут, текст окончательно редактируется для представления в качестве черновика международного стандарта</w:t>
      </w:r>
      <w:r w:rsidR="004E376B">
        <w:rPr>
          <w:rFonts w:ascii="Times New Roman" w:eastAsia="Times New Roman" w:hAnsi="Times New Roman" w:cs="Times New Roman"/>
          <w:color w:val="000000"/>
          <w:sz w:val="24"/>
        </w:rPr>
        <w:t>.</w:t>
      </w:r>
    </w:p>
    <w:p w14:paraId="0A62142B" w14:textId="39793B54" w:rsidR="0050626C" w:rsidRPr="0050626C" w:rsidRDefault="0050626C" w:rsidP="00B111FA">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4: Стадия вопросов </w:t>
      </w:r>
      <w:r w:rsidR="004E376B">
        <w:rPr>
          <w:rFonts w:ascii="Times New Roman" w:hAnsi="Times New Roman" w:cs="Times New Roman"/>
          <w:sz w:val="24"/>
          <w:szCs w:val="24"/>
        </w:rPr>
        <w:t>–</w:t>
      </w:r>
      <w:r w:rsidR="004E376B"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 xml:space="preserve">Черновик международного стандарта распространяется среди всех членов </w:t>
      </w:r>
      <w:r w:rsidR="00B111FA">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Главным Секретариатом </w:t>
      </w:r>
      <w:r w:rsidR="00B111FA">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для </w:t>
      </w:r>
      <w:r w:rsidRPr="0050626C">
        <w:rPr>
          <w:rFonts w:ascii="Times New Roman" w:eastAsia="Times New Roman" w:hAnsi="Times New Roman" w:cs="Times New Roman"/>
          <w:color w:val="000000"/>
          <w:sz w:val="24"/>
        </w:rPr>
        <w:lastRenderedPageBreak/>
        <w:t>голосования и замечаний в течение пяти месяцев. Если критерии одобрения не выполнены, текст возвращается в исходный ТК/ПК для дальнейшего изучения, и исправленный документ снова публикуется для голосования и замечаний в качестве черновика международного стандарта.</w:t>
      </w:r>
    </w:p>
    <w:p w14:paraId="6FAC5FF5" w14:textId="2F55E90B" w:rsidR="0050626C" w:rsidRPr="0050626C" w:rsidRDefault="0050626C" w:rsidP="00B111FA">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5: Стадия одобрения </w:t>
      </w:r>
      <w:r w:rsidR="00A77666">
        <w:rPr>
          <w:rFonts w:ascii="Times New Roman" w:hAnsi="Times New Roman" w:cs="Times New Roman"/>
          <w:sz w:val="24"/>
          <w:szCs w:val="24"/>
        </w:rPr>
        <w:t>–</w:t>
      </w:r>
      <w:r w:rsidR="00A77666"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 xml:space="preserve">Окончательная редакция черновика международного стандарта распространяется среди всех членов </w:t>
      </w:r>
      <w:r w:rsidR="00B111FA">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Главным Секретариатом </w:t>
      </w:r>
      <w:r w:rsidR="00B111FA">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для итогового голосования за/против в течение двух месяцев. Если в этот период поступают технические замечания, на этой стадии они уже не рассматриваются, но регистрируются для анализа в ходе будущего пересмотра данного международного стандарта.</w:t>
      </w:r>
    </w:p>
    <w:p w14:paraId="2FB8618A" w14:textId="018DDC68" w:rsidR="003E1338" w:rsidRPr="0050626C" w:rsidRDefault="0050626C" w:rsidP="00B111FA">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6: Стадия публикации </w:t>
      </w:r>
      <w:r w:rsidR="002813B5">
        <w:rPr>
          <w:rFonts w:ascii="Times New Roman" w:hAnsi="Times New Roman" w:cs="Times New Roman"/>
          <w:sz w:val="24"/>
          <w:szCs w:val="24"/>
        </w:rPr>
        <w:t>–</w:t>
      </w:r>
      <w:r w:rsidR="002813B5"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 xml:space="preserve">Когда окончательная редакция черновика международного стандарта одобрена, в итоговый текст разрешается, при возникновении такой необходимости, вносить только небольшую редакторскую правку. Итоговый текст отсылается в Главный Секретариат </w:t>
      </w:r>
      <w:r w:rsidR="00B111FA">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который публикует данный международный стандарт.</w:t>
      </w:r>
    </w:p>
    <w:p w14:paraId="73760FE7" w14:textId="77777777" w:rsidR="00DB434D" w:rsidRPr="00B111FA" w:rsidRDefault="0001684F" w:rsidP="00B111FA">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b/>
          <w:color w:val="000000"/>
          <w:sz w:val="24"/>
        </w:rPr>
      </w:pPr>
      <w:r w:rsidRPr="00B111FA">
        <w:rPr>
          <w:rFonts w:ascii="Times New Roman" w:eastAsia="Times New Roman" w:hAnsi="Times New Roman" w:cs="Times New Roman"/>
          <w:b/>
          <w:color w:val="000000"/>
          <w:sz w:val="24"/>
        </w:rPr>
        <w:t>Порядок разработки стандартов МЭК.</w:t>
      </w:r>
    </w:p>
    <w:p w14:paraId="134CF879" w14:textId="624A4417" w:rsidR="00DB434D" w:rsidRPr="0037047E" w:rsidRDefault="0037047E" w:rsidP="00B111F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Порядок разработки стандартов в МЭК </w:t>
      </w:r>
      <w:r w:rsidR="00B111FA">
        <w:rPr>
          <w:rFonts w:ascii="Times New Roman" w:hAnsi="Times New Roman" w:cs="Times New Roman"/>
          <w:sz w:val="24"/>
          <w:szCs w:val="24"/>
        </w:rPr>
        <w:t>идентичен</w:t>
      </w:r>
      <w:bookmarkStart w:id="0" w:name="_GoBack"/>
      <w:bookmarkEnd w:id="0"/>
      <w:r>
        <w:rPr>
          <w:rFonts w:ascii="Times New Roman" w:hAnsi="Times New Roman" w:cs="Times New Roman"/>
          <w:sz w:val="24"/>
          <w:szCs w:val="24"/>
        </w:rPr>
        <w:t xml:space="preserve"> с порядком разработки международных стандартов в </w:t>
      </w:r>
      <w:r w:rsidR="00B111FA">
        <w:rPr>
          <w:rFonts w:ascii="Times New Roman" w:hAnsi="Times New Roman" w:cs="Times New Roman"/>
          <w:sz w:val="24"/>
          <w:szCs w:val="24"/>
        </w:rPr>
        <w:t>ISO</w:t>
      </w:r>
      <w:r>
        <w:rPr>
          <w:rFonts w:ascii="Times New Roman" w:hAnsi="Times New Roman" w:cs="Times New Roman"/>
          <w:sz w:val="24"/>
          <w:szCs w:val="24"/>
        </w:rPr>
        <w:t>.</w:t>
      </w:r>
    </w:p>
    <w:sectPr w:rsidR="00DB434D" w:rsidRPr="0037047E" w:rsidSect="003F7221">
      <w:footerReference w:type="default" r:id="rId8"/>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C40E2" w14:textId="77777777" w:rsidR="002C0C12" w:rsidRDefault="002C0C12">
      <w:pPr>
        <w:spacing w:after="0" w:line="240" w:lineRule="auto"/>
      </w:pPr>
      <w:r>
        <w:separator/>
      </w:r>
    </w:p>
  </w:endnote>
  <w:endnote w:type="continuationSeparator" w:id="0">
    <w:p w14:paraId="055DB6A4" w14:textId="77777777" w:rsidR="002C0C12" w:rsidRDefault="002C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72785"/>
      <w:docPartObj>
        <w:docPartGallery w:val="Page Numbers (Bottom of Page)"/>
        <w:docPartUnique/>
      </w:docPartObj>
    </w:sdtPr>
    <w:sdtEndPr/>
    <w:sdtContent>
      <w:p w14:paraId="6C9C7A66" w14:textId="26BA98E2" w:rsidR="003F7221" w:rsidRDefault="003F7221">
        <w:pPr>
          <w:pStyle w:val="ab"/>
          <w:jc w:val="center"/>
        </w:pPr>
        <w:r>
          <w:fldChar w:fldCharType="begin"/>
        </w:r>
        <w:r>
          <w:instrText>PAGE   \* MERGEFORMAT</w:instrText>
        </w:r>
        <w:r>
          <w:fldChar w:fldCharType="separate"/>
        </w:r>
        <w:r w:rsidR="00B111FA">
          <w:rPr>
            <w:noProof/>
          </w:rPr>
          <w:t>5</w:t>
        </w:r>
        <w:r>
          <w:fldChar w:fldCharType="end"/>
        </w:r>
      </w:p>
    </w:sdtContent>
  </w:sdt>
  <w:p w14:paraId="113AC3F7" w14:textId="77777777" w:rsidR="003F7221" w:rsidRDefault="003F722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1AB11" w14:textId="77777777" w:rsidR="002C0C12" w:rsidRDefault="002C0C12">
      <w:pPr>
        <w:spacing w:after="0" w:line="240" w:lineRule="auto"/>
      </w:pPr>
      <w:r>
        <w:separator/>
      </w:r>
    </w:p>
  </w:footnote>
  <w:footnote w:type="continuationSeparator" w:id="0">
    <w:p w14:paraId="6B1E08CC" w14:textId="77777777" w:rsidR="002C0C12" w:rsidRDefault="002C0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51353"/>
    <w:multiLevelType w:val="hybridMultilevel"/>
    <w:tmpl w:val="34203884"/>
    <w:lvl w:ilvl="0" w:tplc="78222792">
      <w:start w:val="1"/>
      <w:numFmt w:val="decimal"/>
      <w:lvlText w:val="%1."/>
      <w:lvlJc w:val="right"/>
      <w:pPr>
        <w:ind w:left="709" w:hanging="360"/>
      </w:pPr>
      <w:rPr>
        <w:rFonts w:ascii="Times New Roman" w:eastAsia="Times New Roman" w:hAnsi="Times New Roman" w:cs="Times New Roman"/>
        <w:color w:val="000000"/>
        <w:sz w:val="24"/>
      </w:rPr>
    </w:lvl>
    <w:lvl w:ilvl="1" w:tplc="83D63262">
      <w:start w:val="1"/>
      <w:numFmt w:val="decimal"/>
      <w:lvlText w:val="%2."/>
      <w:lvlJc w:val="right"/>
      <w:pPr>
        <w:ind w:left="1429" w:hanging="360"/>
      </w:pPr>
    </w:lvl>
    <w:lvl w:ilvl="2" w:tplc="633EA118">
      <w:start w:val="1"/>
      <w:numFmt w:val="decimal"/>
      <w:lvlText w:val="%3."/>
      <w:lvlJc w:val="right"/>
      <w:pPr>
        <w:ind w:left="2149" w:hanging="180"/>
      </w:pPr>
    </w:lvl>
    <w:lvl w:ilvl="3" w:tplc="C77C591A">
      <w:start w:val="1"/>
      <w:numFmt w:val="decimal"/>
      <w:lvlText w:val="%4."/>
      <w:lvlJc w:val="right"/>
      <w:pPr>
        <w:ind w:left="2869" w:hanging="360"/>
      </w:pPr>
    </w:lvl>
    <w:lvl w:ilvl="4" w:tplc="C3262674">
      <w:start w:val="1"/>
      <w:numFmt w:val="decimal"/>
      <w:lvlText w:val="%5."/>
      <w:lvlJc w:val="right"/>
      <w:pPr>
        <w:ind w:left="3589" w:hanging="360"/>
      </w:pPr>
    </w:lvl>
    <w:lvl w:ilvl="5" w:tplc="A64C30F8">
      <w:start w:val="1"/>
      <w:numFmt w:val="decimal"/>
      <w:lvlText w:val="%6."/>
      <w:lvlJc w:val="right"/>
      <w:pPr>
        <w:ind w:left="4309" w:hanging="180"/>
      </w:pPr>
    </w:lvl>
    <w:lvl w:ilvl="6" w:tplc="0BFAD11E">
      <w:start w:val="1"/>
      <w:numFmt w:val="decimal"/>
      <w:lvlText w:val="%7."/>
      <w:lvlJc w:val="right"/>
      <w:pPr>
        <w:ind w:left="5029" w:hanging="360"/>
      </w:pPr>
    </w:lvl>
    <w:lvl w:ilvl="7" w:tplc="1200D3A2">
      <w:start w:val="1"/>
      <w:numFmt w:val="decimal"/>
      <w:lvlText w:val="%8."/>
      <w:lvlJc w:val="right"/>
      <w:pPr>
        <w:ind w:left="5749" w:hanging="360"/>
      </w:pPr>
    </w:lvl>
    <w:lvl w:ilvl="8" w:tplc="74DA5FCC">
      <w:start w:val="1"/>
      <w:numFmt w:val="decimal"/>
      <w:lvlText w:val="%9."/>
      <w:lvlJc w:val="right"/>
      <w:pPr>
        <w:ind w:left="6469" w:hanging="180"/>
      </w:pPr>
    </w:lvl>
  </w:abstractNum>
  <w:abstractNum w:abstractNumId="1" w15:restartNumberingAfterBreak="0">
    <w:nsid w:val="1CEE7BE0"/>
    <w:multiLevelType w:val="hybridMultilevel"/>
    <w:tmpl w:val="2DAA425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4D11482"/>
    <w:multiLevelType w:val="hybridMultilevel"/>
    <w:tmpl w:val="EE084F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A3D4D9A"/>
    <w:multiLevelType w:val="hybridMultilevel"/>
    <w:tmpl w:val="BDF6207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60B01CFB"/>
    <w:multiLevelType w:val="hybridMultilevel"/>
    <w:tmpl w:val="0AC469A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4D"/>
    <w:rsid w:val="0001684F"/>
    <w:rsid w:val="000606EA"/>
    <w:rsid w:val="0009495F"/>
    <w:rsid w:val="000F1221"/>
    <w:rsid w:val="001968D2"/>
    <w:rsid w:val="001B7058"/>
    <w:rsid w:val="00200B58"/>
    <w:rsid w:val="002813B5"/>
    <w:rsid w:val="002C0C12"/>
    <w:rsid w:val="002F15E8"/>
    <w:rsid w:val="00366C9B"/>
    <w:rsid w:val="0037047E"/>
    <w:rsid w:val="0039414E"/>
    <w:rsid w:val="003E1338"/>
    <w:rsid w:val="003F7221"/>
    <w:rsid w:val="00446BC0"/>
    <w:rsid w:val="004B471A"/>
    <w:rsid w:val="004C056F"/>
    <w:rsid w:val="004D046C"/>
    <w:rsid w:val="004E376B"/>
    <w:rsid w:val="0050626C"/>
    <w:rsid w:val="00553504"/>
    <w:rsid w:val="006032E4"/>
    <w:rsid w:val="00622D16"/>
    <w:rsid w:val="00671841"/>
    <w:rsid w:val="00682179"/>
    <w:rsid w:val="0069465C"/>
    <w:rsid w:val="006B1A56"/>
    <w:rsid w:val="0070380D"/>
    <w:rsid w:val="00710711"/>
    <w:rsid w:val="007346B0"/>
    <w:rsid w:val="007951A2"/>
    <w:rsid w:val="00795B14"/>
    <w:rsid w:val="008B023F"/>
    <w:rsid w:val="009069F7"/>
    <w:rsid w:val="00980A76"/>
    <w:rsid w:val="009E5DE4"/>
    <w:rsid w:val="009E7B56"/>
    <w:rsid w:val="00A77666"/>
    <w:rsid w:val="00A91AD7"/>
    <w:rsid w:val="00AA722C"/>
    <w:rsid w:val="00B111FA"/>
    <w:rsid w:val="00B65E70"/>
    <w:rsid w:val="00B86CD4"/>
    <w:rsid w:val="00B971EC"/>
    <w:rsid w:val="00C25E81"/>
    <w:rsid w:val="00C92354"/>
    <w:rsid w:val="00CB3CC8"/>
    <w:rsid w:val="00D07055"/>
    <w:rsid w:val="00D13A4D"/>
    <w:rsid w:val="00D166CF"/>
    <w:rsid w:val="00D21720"/>
    <w:rsid w:val="00D2284A"/>
    <w:rsid w:val="00D361B2"/>
    <w:rsid w:val="00D60924"/>
    <w:rsid w:val="00D9310A"/>
    <w:rsid w:val="00DA13CF"/>
    <w:rsid w:val="00DB434D"/>
    <w:rsid w:val="00DF0B95"/>
    <w:rsid w:val="00E00170"/>
    <w:rsid w:val="00E45E4C"/>
    <w:rsid w:val="00E62F79"/>
    <w:rsid w:val="00EE48BD"/>
    <w:rsid w:val="00F618EC"/>
    <w:rsid w:val="00FC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51EB"/>
  <w15:docId w15:val="{8551DF0F-D8CD-4148-B10F-A32C92CB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Название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402318">
      <w:bodyDiv w:val="1"/>
      <w:marLeft w:val="0"/>
      <w:marRight w:val="0"/>
      <w:marTop w:val="0"/>
      <w:marBottom w:val="0"/>
      <w:divBdr>
        <w:top w:val="none" w:sz="0" w:space="0" w:color="auto"/>
        <w:left w:val="none" w:sz="0" w:space="0" w:color="auto"/>
        <w:bottom w:val="none" w:sz="0" w:space="0" w:color="auto"/>
        <w:right w:val="none" w:sz="0" w:space="0" w:color="auto"/>
      </w:divBdr>
      <w:divsChild>
        <w:div w:id="1568416783">
          <w:marLeft w:val="0"/>
          <w:marRight w:val="0"/>
          <w:marTop w:val="105"/>
          <w:marBottom w:val="0"/>
          <w:divBdr>
            <w:top w:val="none" w:sz="0" w:space="0" w:color="auto"/>
            <w:left w:val="none" w:sz="0" w:space="0" w:color="auto"/>
            <w:bottom w:val="none" w:sz="0" w:space="0" w:color="auto"/>
            <w:right w:val="none" w:sz="0" w:space="0" w:color="auto"/>
          </w:divBdr>
        </w:div>
        <w:div w:id="1851721470">
          <w:marLeft w:val="75"/>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6611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2022-06-13T10:00:00Z</dcterms:created>
  <dcterms:modified xsi:type="dcterms:W3CDTF">2022-06-13T10:00:00Z</dcterms:modified>
</cp:coreProperties>
</file>