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D6" w:rsidRPr="001D30DC" w:rsidRDefault="009A4CD6" w:rsidP="009A4CD6">
      <w:pPr>
        <w:jc w:val="center"/>
        <w:rPr>
          <w:rFonts w:ascii="Times New Roman" w:eastAsia="Times New Roman" w:hAnsi="Times New Roman" w:cs="Times New Roman"/>
          <w:bCs/>
          <w:color w:val="000000"/>
          <w:sz w:val="32"/>
          <w:szCs w:val="32"/>
        </w:rPr>
      </w:pPr>
      <w:r w:rsidRPr="001D30DC">
        <w:rPr>
          <w:rFonts w:ascii="Times New Roman" w:eastAsia="Times New Roman" w:hAnsi="Times New Roman" w:cs="Times New Roman"/>
          <w:bCs/>
          <w:color w:val="000000"/>
          <w:sz w:val="32"/>
          <w:szCs w:val="32"/>
        </w:rPr>
        <w:t xml:space="preserve">МИНИСТЕРСТВО НАУКИ И ВЫСШЕГО ОБРАЗОВАНИЯ РФ </w:t>
      </w:r>
    </w:p>
    <w:p w:rsidR="009A4CD6" w:rsidRPr="001D30DC" w:rsidRDefault="009A4CD6" w:rsidP="009A4CD6">
      <w:pPr>
        <w:jc w:val="center"/>
        <w:rPr>
          <w:rFonts w:ascii="Times New Roman" w:eastAsia="Times New Roman" w:hAnsi="Times New Roman" w:cs="Times New Roman"/>
          <w:bCs/>
          <w:color w:val="000000"/>
          <w:sz w:val="32"/>
          <w:szCs w:val="32"/>
        </w:rPr>
      </w:pPr>
      <w:r w:rsidRPr="001D30DC">
        <w:rPr>
          <w:rFonts w:ascii="Times New Roman" w:eastAsia="Times New Roman" w:hAnsi="Times New Roman" w:cs="Times New Roman"/>
          <w:bCs/>
          <w:color w:val="000000"/>
          <w:sz w:val="32"/>
          <w:szCs w:val="32"/>
        </w:rPr>
        <w:t xml:space="preserve">ФЕДЕРАЛЬНОЕ ГОСУДАРСТВЕННОЕ АВТОНОМНОЕ </w:t>
      </w:r>
    </w:p>
    <w:p w:rsidR="009A4CD6" w:rsidRPr="001D30DC" w:rsidRDefault="009A4CD6" w:rsidP="009A4CD6">
      <w:pPr>
        <w:jc w:val="center"/>
        <w:rPr>
          <w:rFonts w:ascii="Times New Roman" w:eastAsia="Times New Roman" w:hAnsi="Times New Roman" w:cs="Times New Roman"/>
          <w:bCs/>
          <w:color w:val="000000"/>
          <w:sz w:val="32"/>
          <w:szCs w:val="32"/>
        </w:rPr>
      </w:pPr>
      <w:r w:rsidRPr="001D30DC">
        <w:rPr>
          <w:rFonts w:ascii="Times New Roman" w:eastAsia="Times New Roman" w:hAnsi="Times New Roman" w:cs="Times New Roman"/>
          <w:bCs/>
          <w:color w:val="000000"/>
          <w:sz w:val="32"/>
          <w:szCs w:val="32"/>
        </w:rPr>
        <w:t xml:space="preserve">ОБРАЗОВАТЕЛЬНОЕ УЧРЕЖДЕНИЕ ВЫСШЕГО ОБРАЗОВАНИЯ </w:t>
      </w:r>
    </w:p>
    <w:p w:rsidR="009A4CD6" w:rsidRPr="001D30DC" w:rsidRDefault="009A4CD6" w:rsidP="009A4CD6">
      <w:pPr>
        <w:jc w:val="center"/>
        <w:rPr>
          <w:rFonts w:ascii="Times New Roman" w:eastAsia="Times New Roman" w:hAnsi="Times New Roman" w:cs="Times New Roman"/>
          <w:bCs/>
          <w:color w:val="000000"/>
          <w:sz w:val="32"/>
          <w:szCs w:val="32"/>
        </w:rPr>
      </w:pPr>
      <w:r w:rsidRPr="001D30DC">
        <w:rPr>
          <w:rFonts w:ascii="Times New Roman" w:eastAsia="Times New Roman" w:hAnsi="Times New Roman" w:cs="Times New Roman"/>
          <w:bCs/>
          <w:color w:val="000000"/>
          <w:sz w:val="32"/>
          <w:szCs w:val="32"/>
        </w:rPr>
        <w:t>«МОСКОВСКИЙ ПОЛИТЕХНИЧЕСКИЙ УНИВЕРСИТЕТ»</w:t>
      </w:r>
    </w:p>
    <w:p w:rsidR="009A4CD6" w:rsidRPr="009A4CD6" w:rsidRDefault="009A4CD6" w:rsidP="009A4CD6">
      <w:pPr>
        <w:jc w:val="center"/>
        <w:rPr>
          <w:rFonts w:ascii="Times New Roman" w:eastAsia="Times New Roman" w:hAnsi="Times New Roman" w:cs="Times New Roman"/>
          <w:bCs/>
          <w:color w:val="000000"/>
          <w:sz w:val="32"/>
          <w:szCs w:val="32"/>
        </w:rPr>
      </w:pPr>
    </w:p>
    <w:p w:rsidR="009A4CD6" w:rsidRPr="00B111FA" w:rsidRDefault="009A4CD6" w:rsidP="009A4CD6">
      <w:pPr>
        <w:jc w:val="center"/>
        <w:rPr>
          <w:rFonts w:ascii="Times New Roman" w:eastAsia="Times New Roman" w:hAnsi="Times New Roman" w:cs="Times New Roman"/>
          <w:bCs/>
          <w:color w:val="000000"/>
          <w:sz w:val="40"/>
        </w:rPr>
      </w:pPr>
      <w:r w:rsidRPr="009A4CD6">
        <w:rPr>
          <w:rFonts w:ascii="Times New Roman" w:eastAsia="Times New Roman" w:hAnsi="Times New Roman" w:cs="Times New Roman"/>
          <w:bCs/>
          <w:color w:val="000000"/>
          <w:sz w:val="32"/>
          <w:szCs w:val="32"/>
        </w:rPr>
        <w:t>Ответы на вопросы</w:t>
      </w:r>
    </w:p>
    <w:p w:rsidR="009A4CD6" w:rsidRPr="009E5DE4" w:rsidRDefault="009A4CD6" w:rsidP="009A4CD6">
      <w:pPr>
        <w:jc w:val="center"/>
        <w:rPr>
          <w:rFonts w:ascii="Times New Roman" w:eastAsia="Times New Roman" w:hAnsi="Times New Roman" w:cs="Times New Roman"/>
          <w:bCs/>
          <w:color w:val="000000"/>
          <w:sz w:val="24"/>
        </w:rPr>
      </w:pPr>
    </w:p>
    <w:p w:rsidR="009A4CD6" w:rsidRPr="009E5DE4" w:rsidRDefault="009A4CD6" w:rsidP="009A4CD6">
      <w:pPr>
        <w:jc w:val="center"/>
        <w:rPr>
          <w:rFonts w:ascii="Times New Roman" w:eastAsia="Times New Roman" w:hAnsi="Times New Roman" w:cs="Times New Roman"/>
          <w:bCs/>
          <w:color w:val="000000"/>
          <w:sz w:val="24"/>
        </w:rPr>
      </w:pPr>
    </w:p>
    <w:p w:rsidR="009A4CD6" w:rsidRPr="009E5DE4" w:rsidRDefault="009A4CD6" w:rsidP="009A4CD6">
      <w:pPr>
        <w:jc w:val="center"/>
        <w:rPr>
          <w:rFonts w:ascii="Times New Roman" w:eastAsia="Times New Roman" w:hAnsi="Times New Roman" w:cs="Times New Roman"/>
          <w:bCs/>
          <w:color w:val="000000"/>
          <w:sz w:val="24"/>
        </w:rPr>
      </w:pPr>
    </w:p>
    <w:p w:rsidR="009A4CD6" w:rsidRPr="009E5DE4" w:rsidRDefault="009A4CD6" w:rsidP="009A4CD6">
      <w:pPr>
        <w:jc w:val="center"/>
        <w:rPr>
          <w:rFonts w:ascii="Times New Roman" w:eastAsia="Times New Roman" w:hAnsi="Times New Roman" w:cs="Times New Roman"/>
          <w:bCs/>
          <w:color w:val="000000"/>
          <w:sz w:val="24"/>
        </w:rPr>
      </w:pPr>
    </w:p>
    <w:p w:rsidR="009A4CD6" w:rsidRPr="009E5DE4" w:rsidRDefault="009A4CD6" w:rsidP="009A4CD6">
      <w:pPr>
        <w:jc w:val="center"/>
        <w:rPr>
          <w:rFonts w:ascii="Times New Roman" w:eastAsia="Times New Roman" w:hAnsi="Times New Roman" w:cs="Times New Roman"/>
          <w:bCs/>
          <w:color w:val="000000"/>
          <w:sz w:val="24"/>
        </w:rPr>
      </w:pPr>
    </w:p>
    <w:p w:rsidR="009A4CD6" w:rsidRPr="009E5DE4" w:rsidRDefault="009A4CD6" w:rsidP="009A4CD6">
      <w:pPr>
        <w:jc w:val="center"/>
        <w:rPr>
          <w:rFonts w:ascii="Times New Roman" w:eastAsia="Times New Roman" w:hAnsi="Times New Roman" w:cs="Times New Roman"/>
          <w:bCs/>
          <w:color w:val="000000"/>
          <w:sz w:val="24"/>
        </w:rPr>
      </w:pPr>
    </w:p>
    <w:p w:rsidR="009A4CD6" w:rsidRPr="009E5DE4" w:rsidRDefault="009A4CD6" w:rsidP="009A4CD6">
      <w:pPr>
        <w:jc w:val="center"/>
        <w:rPr>
          <w:rFonts w:ascii="Times New Roman" w:eastAsia="Times New Roman" w:hAnsi="Times New Roman" w:cs="Times New Roman"/>
          <w:bCs/>
          <w:color w:val="000000"/>
          <w:sz w:val="24"/>
        </w:rPr>
      </w:pPr>
    </w:p>
    <w:p w:rsidR="009A4CD6" w:rsidRPr="009E5DE4" w:rsidRDefault="009A4CD6" w:rsidP="009A4CD6">
      <w:pPr>
        <w:rPr>
          <w:rFonts w:ascii="Times New Roman" w:eastAsia="Times New Roman" w:hAnsi="Times New Roman" w:cs="Times New Roman"/>
          <w:bCs/>
          <w:color w:val="000000"/>
          <w:sz w:val="24"/>
        </w:rPr>
      </w:pPr>
    </w:p>
    <w:p w:rsidR="009A4CD6" w:rsidRPr="009A4CD6" w:rsidRDefault="009A4CD6" w:rsidP="009A4CD6">
      <w:pPr>
        <w:jc w:val="center"/>
        <w:rPr>
          <w:rFonts w:ascii="Times New Roman" w:eastAsia="Times New Roman" w:hAnsi="Times New Roman" w:cs="Times New Roman"/>
          <w:bCs/>
          <w:color w:val="000000"/>
          <w:sz w:val="32"/>
          <w:szCs w:val="32"/>
        </w:rPr>
      </w:pPr>
    </w:p>
    <w:p w:rsidR="009A4CD6" w:rsidRPr="009A4CD6" w:rsidRDefault="009A4CD6" w:rsidP="009A4CD6">
      <w:pPr>
        <w:jc w:val="right"/>
        <w:rPr>
          <w:rFonts w:ascii="Times New Roman" w:eastAsia="Times New Roman" w:hAnsi="Times New Roman" w:cs="Times New Roman"/>
          <w:bCs/>
          <w:color w:val="000000"/>
          <w:sz w:val="32"/>
          <w:szCs w:val="32"/>
        </w:rPr>
      </w:pPr>
      <w:r w:rsidRPr="009A4CD6">
        <w:rPr>
          <w:rFonts w:ascii="Times New Roman" w:eastAsia="Times New Roman" w:hAnsi="Times New Roman" w:cs="Times New Roman"/>
          <w:bCs/>
          <w:color w:val="000000"/>
          <w:sz w:val="32"/>
          <w:szCs w:val="32"/>
        </w:rPr>
        <w:t>Работу выполнили</w:t>
      </w:r>
    </w:p>
    <w:p w:rsidR="009A4CD6" w:rsidRPr="009A4CD6" w:rsidRDefault="009A4CD6" w:rsidP="009A4CD6">
      <w:pPr>
        <w:jc w:val="right"/>
        <w:rPr>
          <w:rFonts w:ascii="Times New Roman" w:eastAsia="Times New Roman" w:hAnsi="Times New Roman" w:cs="Times New Roman"/>
          <w:bCs/>
          <w:color w:val="000000"/>
          <w:sz w:val="32"/>
          <w:szCs w:val="32"/>
        </w:rPr>
      </w:pPr>
      <w:r w:rsidRPr="009A4CD6">
        <w:rPr>
          <w:rFonts w:ascii="Times New Roman" w:eastAsia="Times New Roman" w:hAnsi="Times New Roman" w:cs="Times New Roman"/>
          <w:bCs/>
          <w:color w:val="000000"/>
          <w:sz w:val="32"/>
          <w:szCs w:val="32"/>
        </w:rPr>
        <w:t>студенты группы 191-351:</w:t>
      </w:r>
    </w:p>
    <w:p w:rsidR="009A4CD6" w:rsidRPr="009A4CD6" w:rsidRDefault="009A4CD6" w:rsidP="009A4CD6">
      <w:pPr>
        <w:jc w:val="right"/>
        <w:rPr>
          <w:rFonts w:ascii="Times New Roman" w:eastAsia="Times New Roman" w:hAnsi="Times New Roman" w:cs="Times New Roman"/>
          <w:bCs/>
          <w:color w:val="000000"/>
          <w:sz w:val="32"/>
          <w:szCs w:val="32"/>
        </w:rPr>
      </w:pPr>
      <w:proofErr w:type="spellStart"/>
      <w:r w:rsidRPr="009A4CD6">
        <w:rPr>
          <w:rFonts w:ascii="Times New Roman" w:eastAsia="Times New Roman" w:hAnsi="Times New Roman" w:cs="Times New Roman"/>
          <w:bCs/>
          <w:color w:val="000000"/>
          <w:sz w:val="32"/>
          <w:szCs w:val="32"/>
        </w:rPr>
        <w:t>Тохсыров</w:t>
      </w:r>
      <w:proofErr w:type="spellEnd"/>
      <w:r w:rsidRPr="009A4CD6">
        <w:rPr>
          <w:rFonts w:ascii="Times New Roman" w:eastAsia="Times New Roman" w:hAnsi="Times New Roman" w:cs="Times New Roman"/>
          <w:bCs/>
          <w:color w:val="000000"/>
          <w:sz w:val="32"/>
          <w:szCs w:val="32"/>
        </w:rPr>
        <w:t xml:space="preserve"> Д.В</w:t>
      </w:r>
    </w:p>
    <w:p w:rsidR="009A4CD6" w:rsidRPr="009A4CD6" w:rsidRDefault="009A4CD6" w:rsidP="009A4CD6">
      <w:pPr>
        <w:jc w:val="right"/>
        <w:rPr>
          <w:rFonts w:ascii="Times New Roman" w:eastAsia="Times New Roman" w:hAnsi="Times New Roman" w:cs="Times New Roman"/>
          <w:bCs/>
          <w:color w:val="000000"/>
          <w:sz w:val="32"/>
          <w:szCs w:val="32"/>
        </w:rPr>
      </w:pPr>
      <w:r w:rsidRPr="009A4CD6">
        <w:rPr>
          <w:rFonts w:ascii="Times New Roman" w:eastAsia="Times New Roman" w:hAnsi="Times New Roman" w:cs="Times New Roman"/>
          <w:bCs/>
          <w:color w:val="000000"/>
          <w:sz w:val="32"/>
          <w:szCs w:val="32"/>
        </w:rPr>
        <w:t>Гладышев Ф.П</w:t>
      </w:r>
    </w:p>
    <w:p w:rsidR="009A4CD6" w:rsidRPr="009A4CD6" w:rsidRDefault="009A4CD6" w:rsidP="009A4CD6">
      <w:pPr>
        <w:jc w:val="right"/>
        <w:rPr>
          <w:rFonts w:ascii="Times New Roman" w:eastAsia="Times New Roman" w:hAnsi="Times New Roman" w:cs="Times New Roman"/>
          <w:bCs/>
          <w:color w:val="000000"/>
          <w:sz w:val="32"/>
          <w:szCs w:val="32"/>
        </w:rPr>
      </w:pPr>
      <w:proofErr w:type="spellStart"/>
      <w:r w:rsidRPr="009A4CD6">
        <w:rPr>
          <w:rFonts w:ascii="Times New Roman" w:eastAsia="Times New Roman" w:hAnsi="Times New Roman" w:cs="Times New Roman"/>
          <w:bCs/>
          <w:color w:val="000000"/>
          <w:sz w:val="32"/>
          <w:szCs w:val="32"/>
        </w:rPr>
        <w:t>Фаградян</w:t>
      </w:r>
      <w:proofErr w:type="spellEnd"/>
      <w:r w:rsidRPr="009A4CD6">
        <w:rPr>
          <w:rFonts w:ascii="Times New Roman" w:eastAsia="Times New Roman" w:hAnsi="Times New Roman" w:cs="Times New Roman"/>
          <w:bCs/>
          <w:color w:val="000000"/>
          <w:sz w:val="32"/>
          <w:szCs w:val="32"/>
        </w:rPr>
        <w:t xml:space="preserve"> А.С</w:t>
      </w:r>
    </w:p>
    <w:p w:rsidR="009A4CD6" w:rsidRPr="009E5DE4" w:rsidRDefault="009A4CD6" w:rsidP="009A4CD6">
      <w:pPr>
        <w:jc w:val="center"/>
        <w:rPr>
          <w:rFonts w:ascii="Times New Roman" w:eastAsia="Times New Roman" w:hAnsi="Times New Roman" w:cs="Times New Roman"/>
          <w:bCs/>
          <w:color w:val="000000"/>
          <w:sz w:val="24"/>
        </w:rPr>
      </w:pPr>
    </w:p>
    <w:p w:rsidR="009A4CD6" w:rsidRDefault="009A4CD6" w:rsidP="009A4CD6">
      <w:pPr>
        <w:jc w:val="center"/>
        <w:rPr>
          <w:rFonts w:ascii="Times New Roman" w:eastAsia="Times New Roman" w:hAnsi="Times New Roman" w:cs="Times New Roman"/>
          <w:bCs/>
          <w:color w:val="000000"/>
          <w:sz w:val="24"/>
        </w:rPr>
      </w:pPr>
    </w:p>
    <w:p w:rsidR="009A4CD6" w:rsidRDefault="009A4CD6" w:rsidP="009A4CD6">
      <w:pPr>
        <w:jc w:val="center"/>
        <w:rPr>
          <w:rFonts w:ascii="Times New Roman" w:eastAsia="Times New Roman" w:hAnsi="Times New Roman" w:cs="Times New Roman"/>
          <w:bCs/>
          <w:color w:val="000000"/>
          <w:sz w:val="24"/>
        </w:rPr>
      </w:pPr>
    </w:p>
    <w:p w:rsidR="009A4CD6" w:rsidRDefault="009A4CD6" w:rsidP="001D30DC">
      <w:pPr>
        <w:rPr>
          <w:rFonts w:ascii="Times New Roman" w:eastAsia="Times New Roman" w:hAnsi="Times New Roman" w:cs="Times New Roman"/>
          <w:bCs/>
          <w:color w:val="000000"/>
          <w:sz w:val="24"/>
        </w:rPr>
      </w:pPr>
      <w:bookmarkStart w:id="0" w:name="_GoBack"/>
      <w:bookmarkEnd w:id="0"/>
    </w:p>
    <w:p w:rsidR="009A4CD6" w:rsidRPr="009A4CD6" w:rsidRDefault="009A4CD6" w:rsidP="009A4CD6">
      <w:pPr>
        <w:jc w:val="center"/>
        <w:rPr>
          <w:rFonts w:ascii="Times New Roman" w:eastAsia="Times New Roman" w:hAnsi="Times New Roman" w:cs="Times New Roman"/>
          <w:b/>
          <w:bCs/>
          <w:color w:val="000000"/>
          <w:sz w:val="28"/>
          <w:szCs w:val="28"/>
        </w:rPr>
      </w:pPr>
      <w:r w:rsidRPr="009A4CD6">
        <w:rPr>
          <w:rFonts w:ascii="Times New Roman" w:eastAsia="Times New Roman" w:hAnsi="Times New Roman" w:cs="Times New Roman"/>
          <w:b/>
          <w:bCs/>
          <w:color w:val="000000"/>
          <w:sz w:val="28"/>
          <w:szCs w:val="28"/>
        </w:rPr>
        <w:t>Москва 2022 г.</w:t>
      </w:r>
    </w:p>
    <w:p w:rsidR="00557E12" w:rsidRPr="00A8710A" w:rsidRDefault="00557E12" w:rsidP="00A8710A">
      <w:pPr>
        <w:pStyle w:val="a3"/>
        <w:numPr>
          <w:ilvl w:val="0"/>
          <w:numId w:val="4"/>
        </w:numPr>
        <w:pBdr>
          <w:top w:val="none" w:sz="4" w:space="0" w:color="000000"/>
          <w:left w:val="none" w:sz="4" w:space="0" w:color="000000"/>
          <w:bottom w:val="none" w:sz="4" w:space="0" w:color="000000"/>
          <w:right w:val="none" w:sz="4" w:space="0" w:color="000000"/>
        </w:pBdr>
        <w:spacing w:after="0" w:line="360" w:lineRule="auto"/>
        <w:rPr>
          <w:rFonts w:ascii="Times New Roman" w:eastAsia="Times New Roman" w:hAnsi="Times New Roman" w:cs="Times New Roman"/>
          <w:b/>
          <w:color w:val="000000"/>
          <w:sz w:val="28"/>
          <w:szCs w:val="28"/>
        </w:rPr>
      </w:pPr>
      <w:r w:rsidRPr="00A8710A">
        <w:rPr>
          <w:rFonts w:ascii="Times New Roman" w:eastAsia="Times New Roman" w:hAnsi="Times New Roman" w:cs="Times New Roman"/>
          <w:b/>
          <w:color w:val="000000"/>
          <w:sz w:val="28"/>
          <w:szCs w:val="28"/>
        </w:rPr>
        <w:lastRenderedPageBreak/>
        <w:t>Сфера деятельности ISO</w:t>
      </w:r>
      <w:r w:rsidRPr="00A8710A">
        <w:rPr>
          <w:rFonts w:ascii="Times New Roman" w:eastAsia="Times New Roman" w:hAnsi="Times New Roman" w:cs="Times New Roman"/>
          <w:b/>
          <w:color w:val="000000"/>
          <w:sz w:val="28"/>
          <w:szCs w:val="28"/>
        </w:rPr>
        <w:t xml:space="preserve"> и МЭК</w:t>
      </w:r>
    </w:p>
    <w:p w:rsidR="00557E12" w:rsidRDefault="00557E12" w:rsidP="00557E12">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Сфера деятельности ISO охватывает стандартизацию всех областей, кроме электротехники и электроники. Сфера деятельности МЭК охватывает стандартизацию в области электротехники и электроники. Также существует общий технический комитет, который занимается стандартизацией в области информационных технологий. </w:t>
      </w:r>
    </w:p>
    <w:p w:rsidR="00557E12" w:rsidRPr="00795B14" w:rsidRDefault="00557E12" w:rsidP="00557E12">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p>
    <w:p w:rsidR="00557E12" w:rsidRPr="00A8710A" w:rsidRDefault="00557E12" w:rsidP="00A8710A">
      <w:pPr>
        <w:pStyle w:val="a3"/>
        <w:numPr>
          <w:ilvl w:val="0"/>
          <w:numId w:val="4"/>
        </w:numPr>
        <w:pBdr>
          <w:top w:val="none" w:sz="4" w:space="0" w:color="000000"/>
          <w:left w:val="none" w:sz="4" w:space="0" w:color="000000"/>
          <w:bottom w:val="none" w:sz="4" w:space="0" w:color="000000"/>
          <w:right w:val="none" w:sz="4" w:space="0" w:color="000000"/>
        </w:pBdr>
        <w:spacing w:after="0" w:line="360" w:lineRule="auto"/>
        <w:rPr>
          <w:b/>
          <w:sz w:val="28"/>
          <w:szCs w:val="28"/>
        </w:rPr>
      </w:pPr>
      <w:r w:rsidRPr="00A8710A">
        <w:rPr>
          <w:rFonts w:ascii="Times New Roman" w:eastAsia="Times New Roman" w:hAnsi="Times New Roman" w:cs="Times New Roman"/>
          <w:b/>
          <w:color w:val="000000"/>
          <w:sz w:val="28"/>
          <w:szCs w:val="28"/>
        </w:rPr>
        <w:t>Состав ISO</w:t>
      </w:r>
    </w:p>
    <w:p w:rsidR="00557E12" w:rsidRDefault="00557E12" w:rsidP="00557E12">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Членами ISO являются 165 стран. Существуют три категории членства в организации:</w:t>
      </w:r>
    </w:p>
    <w:p w:rsidR="00557E12" w:rsidRPr="0039414E" w:rsidRDefault="00557E12" w:rsidP="00557E12">
      <w:pPr>
        <w:pStyle w:val="a3"/>
        <w:numPr>
          <w:ilvl w:val="0"/>
          <w:numId w:val="2"/>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39414E">
        <w:rPr>
          <w:rFonts w:ascii="Times New Roman" w:hAnsi="Times New Roman" w:cs="Times New Roman"/>
          <w:sz w:val="24"/>
          <w:szCs w:val="24"/>
        </w:rPr>
        <w:t xml:space="preserve">Полноправные члены влияют на содержание разрабатываемых стандартов </w:t>
      </w:r>
      <w:r>
        <w:rPr>
          <w:rFonts w:ascii="Times New Roman" w:hAnsi="Times New Roman" w:cs="Times New Roman"/>
          <w:sz w:val="24"/>
          <w:szCs w:val="24"/>
        </w:rPr>
        <w:t>ISO</w:t>
      </w:r>
      <w:r w:rsidRPr="0039414E">
        <w:rPr>
          <w:rFonts w:ascii="Times New Roman" w:hAnsi="Times New Roman" w:cs="Times New Roman"/>
          <w:sz w:val="24"/>
          <w:szCs w:val="24"/>
        </w:rPr>
        <w:t xml:space="preserve"> и стратегию, посредством участия в голосовании и международных заседаниях. Полноправные члены имеют право продажи и принятия международных стандартов на национальном уровне.</w:t>
      </w:r>
    </w:p>
    <w:p w:rsidR="00557E12" w:rsidRPr="0039414E" w:rsidRDefault="00557E12" w:rsidP="00557E12">
      <w:pPr>
        <w:pStyle w:val="a3"/>
        <w:numPr>
          <w:ilvl w:val="0"/>
          <w:numId w:val="2"/>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39414E">
        <w:rPr>
          <w:rFonts w:ascii="Times New Roman" w:hAnsi="Times New Roman" w:cs="Times New Roman"/>
          <w:sz w:val="24"/>
          <w:szCs w:val="24"/>
        </w:rPr>
        <w:t xml:space="preserve">Члены-корреспонденты наблюдают за разработкой стандартов </w:t>
      </w:r>
      <w:r>
        <w:rPr>
          <w:rFonts w:ascii="Times New Roman" w:hAnsi="Times New Roman" w:cs="Times New Roman"/>
          <w:sz w:val="24"/>
          <w:szCs w:val="24"/>
        </w:rPr>
        <w:t>ISO</w:t>
      </w:r>
      <w:r w:rsidRPr="0039414E">
        <w:rPr>
          <w:rFonts w:ascii="Times New Roman" w:hAnsi="Times New Roman" w:cs="Times New Roman"/>
          <w:sz w:val="24"/>
          <w:szCs w:val="24"/>
        </w:rPr>
        <w:t xml:space="preserve"> и стратегией путем просмотра результатов голосования, так как не имеют права голосования, и </w:t>
      </w:r>
      <w:proofErr w:type="gramStart"/>
      <w:r w:rsidRPr="0039414E">
        <w:rPr>
          <w:rFonts w:ascii="Times New Roman" w:hAnsi="Times New Roman" w:cs="Times New Roman"/>
          <w:sz w:val="24"/>
          <w:szCs w:val="24"/>
        </w:rPr>
        <w:t>по средством</w:t>
      </w:r>
      <w:proofErr w:type="gramEnd"/>
      <w:r w:rsidRPr="0039414E">
        <w:rPr>
          <w:rFonts w:ascii="Times New Roman" w:hAnsi="Times New Roman" w:cs="Times New Roman"/>
          <w:sz w:val="24"/>
          <w:szCs w:val="24"/>
        </w:rPr>
        <w:t xml:space="preserve"> участия в международных заседаниях в качестве наблюдателя. Члены-корреспонденты имеют право продажи и принятия международных стандартов на национальном уровне.</w:t>
      </w:r>
    </w:p>
    <w:p w:rsidR="00557E12" w:rsidRDefault="00557E12" w:rsidP="00557E12">
      <w:pPr>
        <w:pStyle w:val="a3"/>
        <w:numPr>
          <w:ilvl w:val="0"/>
          <w:numId w:val="2"/>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39414E">
        <w:rPr>
          <w:rFonts w:ascii="Times New Roman" w:hAnsi="Times New Roman" w:cs="Times New Roman"/>
          <w:sz w:val="24"/>
          <w:szCs w:val="24"/>
        </w:rPr>
        <w:t xml:space="preserve">Члены-подписчики получают актуальную информацию о работах, проводимых в </w:t>
      </w:r>
      <w:r>
        <w:rPr>
          <w:rFonts w:ascii="Times New Roman" w:hAnsi="Times New Roman" w:cs="Times New Roman"/>
          <w:sz w:val="24"/>
          <w:szCs w:val="24"/>
        </w:rPr>
        <w:t>ISO</w:t>
      </w:r>
      <w:r w:rsidRPr="0039414E">
        <w:rPr>
          <w:rFonts w:ascii="Times New Roman" w:hAnsi="Times New Roman" w:cs="Times New Roman"/>
          <w:sz w:val="24"/>
          <w:szCs w:val="24"/>
        </w:rPr>
        <w:t>, но не могут принимать участие в работе. Члены-подписчики не имеют право продажи и принятия международных стандартов на национальном уровне</w:t>
      </w:r>
      <w:r>
        <w:rPr>
          <w:rFonts w:ascii="Times New Roman" w:hAnsi="Times New Roman" w:cs="Times New Roman"/>
          <w:sz w:val="24"/>
          <w:szCs w:val="24"/>
        </w:rPr>
        <w:t>.</w:t>
      </w:r>
    </w:p>
    <w:p w:rsidR="00557E12" w:rsidRPr="00557E12" w:rsidRDefault="00557E12" w:rsidP="00557E12">
      <w:p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p>
    <w:p w:rsidR="00557E12" w:rsidRPr="00A8710A" w:rsidRDefault="00557E12" w:rsidP="00A8710A">
      <w:pPr>
        <w:pStyle w:val="a3"/>
        <w:numPr>
          <w:ilvl w:val="0"/>
          <w:numId w:val="4"/>
        </w:numPr>
        <w:pBdr>
          <w:top w:val="none" w:sz="4" w:space="0" w:color="000000"/>
          <w:left w:val="none" w:sz="4" w:space="0" w:color="000000"/>
          <w:bottom w:val="none" w:sz="4" w:space="0" w:color="000000"/>
          <w:right w:val="none" w:sz="4" w:space="0" w:color="000000"/>
        </w:pBdr>
        <w:spacing w:after="0" w:line="360" w:lineRule="auto"/>
        <w:rPr>
          <w:b/>
          <w:sz w:val="28"/>
          <w:szCs w:val="28"/>
        </w:rPr>
      </w:pPr>
      <w:r w:rsidRPr="00A8710A">
        <w:rPr>
          <w:rFonts w:ascii="Times New Roman" w:eastAsia="Times New Roman" w:hAnsi="Times New Roman" w:cs="Times New Roman"/>
          <w:b/>
          <w:color w:val="000000"/>
          <w:sz w:val="28"/>
          <w:szCs w:val="28"/>
        </w:rPr>
        <w:t>Состав МЭК</w:t>
      </w:r>
    </w:p>
    <w:p w:rsidR="00557E12" w:rsidRDefault="00557E12" w:rsidP="00557E12">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Членами МЭК являются только признанные организации национальных стандартов. На данный момент членами организации являются 88 стран. Существует 2 уровня членства в организации: </w:t>
      </w:r>
    </w:p>
    <w:p w:rsidR="00557E12" w:rsidRDefault="00557E12" w:rsidP="00557E12">
      <w:pPr>
        <w:pStyle w:val="a3"/>
        <w:numPr>
          <w:ilvl w:val="0"/>
          <w:numId w:val="3"/>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C25E81">
        <w:rPr>
          <w:rFonts w:ascii="Times New Roman" w:hAnsi="Times New Roman" w:cs="Times New Roman"/>
          <w:sz w:val="24"/>
          <w:szCs w:val="24"/>
        </w:rPr>
        <w:t>Действительный член МЭК</w:t>
      </w:r>
      <w:r>
        <w:rPr>
          <w:rFonts w:ascii="Times New Roman" w:hAnsi="Times New Roman" w:cs="Times New Roman"/>
          <w:sz w:val="24"/>
          <w:szCs w:val="24"/>
        </w:rPr>
        <w:t xml:space="preserve"> (62 страны).  </w:t>
      </w:r>
      <w:r w:rsidRPr="006B1A56">
        <w:rPr>
          <w:rFonts w:ascii="Times New Roman" w:hAnsi="Times New Roman" w:cs="Times New Roman"/>
          <w:sz w:val="24"/>
          <w:szCs w:val="24"/>
        </w:rPr>
        <w:t>Действительные члены МЭК после уплаты ежегодного членского взноса имеют возможность направлять экспертов для активного участия в работе любого технического комитета/подкомитета по своему выбору. Они также могут претендовать на руководящие должности и функции в МЭК и иметь право голоса в Генеральной Ассамблее МЭК</w:t>
      </w:r>
      <w:r>
        <w:rPr>
          <w:rFonts w:ascii="Times New Roman" w:hAnsi="Times New Roman" w:cs="Times New Roman"/>
          <w:sz w:val="24"/>
          <w:szCs w:val="24"/>
        </w:rPr>
        <w:t>.</w:t>
      </w:r>
    </w:p>
    <w:p w:rsidR="00557E12" w:rsidRPr="00C25E81" w:rsidRDefault="00557E12" w:rsidP="00557E12">
      <w:pPr>
        <w:pStyle w:val="a3"/>
        <w:numPr>
          <w:ilvl w:val="0"/>
          <w:numId w:val="3"/>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7346B0">
        <w:rPr>
          <w:rFonts w:ascii="Times New Roman" w:hAnsi="Times New Roman" w:cs="Times New Roman"/>
          <w:sz w:val="24"/>
          <w:szCs w:val="24"/>
        </w:rPr>
        <w:lastRenderedPageBreak/>
        <w:t>Ассоциированный член МЭК</w:t>
      </w:r>
      <w:r>
        <w:rPr>
          <w:rFonts w:ascii="Times New Roman" w:hAnsi="Times New Roman" w:cs="Times New Roman"/>
          <w:sz w:val="24"/>
          <w:szCs w:val="24"/>
        </w:rPr>
        <w:t xml:space="preserve"> (26 стран). </w:t>
      </w:r>
      <w:r w:rsidRPr="00A91AD7">
        <w:rPr>
          <w:rFonts w:ascii="Times New Roman" w:hAnsi="Times New Roman" w:cs="Times New Roman"/>
          <w:sz w:val="24"/>
          <w:szCs w:val="24"/>
        </w:rPr>
        <w:t>Ассоциированные члены МЭК могут получить доступ ко всем рабочим документам и направить экспертов для участия в ограниченном числе технических комитетов/подкомитетов. Они не могут занимать руководящие должности и функции в МЭК и не имеют права голоса в Генеральной Ассамблее МЭК.</w:t>
      </w:r>
    </w:p>
    <w:p w:rsidR="001E1BB4" w:rsidRDefault="001E1BB4"/>
    <w:p w:rsidR="009A4CD6" w:rsidRDefault="009A4CD6"/>
    <w:p w:rsidR="00A8710A" w:rsidRPr="00A8710A" w:rsidRDefault="00A8710A" w:rsidP="00A8710A">
      <w:pPr>
        <w:pStyle w:val="a3"/>
        <w:numPr>
          <w:ilvl w:val="0"/>
          <w:numId w:val="4"/>
        </w:numPr>
        <w:autoSpaceDE w:val="0"/>
        <w:autoSpaceDN w:val="0"/>
        <w:adjustRightInd w:val="0"/>
        <w:snapToGrid w:val="0"/>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Организационная структура ИСО</w:t>
      </w:r>
    </w:p>
    <w:p w:rsidR="00A8710A" w:rsidRPr="00A8710A" w:rsidRDefault="00A8710A" w:rsidP="00A8710A">
      <w:pPr>
        <w:adjustRightInd w:val="0"/>
        <w:snapToGrid w:val="0"/>
        <w:spacing w:line="360" w:lineRule="auto"/>
        <w:ind w:firstLine="709"/>
        <w:jc w:val="both"/>
        <w:rPr>
          <w:rFonts w:ascii="Times New Roman" w:hAnsi="Times New Roman" w:cs="Times New Roman"/>
          <w:color w:val="000000" w:themeColor="text1"/>
          <w:sz w:val="24"/>
          <w:szCs w:val="24"/>
        </w:rPr>
      </w:pPr>
      <w:r w:rsidRPr="00A8710A">
        <w:rPr>
          <w:rFonts w:ascii="Times New Roman" w:hAnsi="Times New Roman" w:cs="Times New Roman"/>
          <w:color w:val="000000" w:themeColor="text1"/>
          <w:sz w:val="24"/>
          <w:szCs w:val="24"/>
          <w:shd w:val="clear" w:color="auto" w:fill="FFFFFF"/>
        </w:rPr>
        <w:t>Организационно в ИСО входят руководящие и рабочие органы. Руководящие органы: Генеральная ассамблея (высший орган), Совет ИСО, Техническое руководящее бюро. Рабочие органы — технические Комитеты (ТК), подкомитеты (ПК), технические консультативные группы (ТКГ).</w:t>
      </w:r>
    </w:p>
    <w:p w:rsidR="00A8710A" w:rsidRPr="00A8710A" w:rsidRDefault="00A8710A" w:rsidP="00A8710A">
      <w:pPr>
        <w:adjustRightInd w:val="0"/>
        <w:snapToGrid w:val="0"/>
        <w:spacing w:line="360" w:lineRule="auto"/>
        <w:ind w:firstLine="709"/>
        <w:jc w:val="both"/>
        <w:rPr>
          <w:rFonts w:ascii="Times New Roman" w:hAnsi="Times New Roman" w:cs="Times New Roman"/>
          <w:color w:val="000000" w:themeColor="text1"/>
          <w:sz w:val="24"/>
          <w:szCs w:val="24"/>
        </w:rPr>
      </w:pPr>
      <w:r w:rsidRPr="00A8710A">
        <w:rPr>
          <w:rFonts w:ascii="Times New Roman" w:hAnsi="Times New Roman" w:cs="Times New Roman"/>
          <w:color w:val="000000" w:themeColor="text1"/>
          <w:sz w:val="24"/>
          <w:szCs w:val="24"/>
          <w:shd w:val="clear" w:color="auto" w:fill="FFFFFF"/>
        </w:rPr>
        <w:t>Генеральная ассамблея — это собрание должностных лиц и делегатов, назначенных комитетами-членами.</w:t>
      </w:r>
    </w:p>
    <w:p w:rsidR="00A8710A" w:rsidRPr="00A8710A" w:rsidRDefault="00A8710A" w:rsidP="00A8710A">
      <w:pPr>
        <w:adjustRightInd w:val="0"/>
        <w:snapToGrid w:val="0"/>
        <w:spacing w:line="360" w:lineRule="auto"/>
        <w:ind w:firstLine="709"/>
        <w:jc w:val="both"/>
        <w:rPr>
          <w:rFonts w:ascii="Times New Roman" w:hAnsi="Times New Roman" w:cs="Times New Roman"/>
          <w:color w:val="000000" w:themeColor="text1"/>
          <w:sz w:val="24"/>
          <w:szCs w:val="24"/>
        </w:rPr>
      </w:pPr>
      <w:r w:rsidRPr="00A8710A">
        <w:rPr>
          <w:rFonts w:ascii="Times New Roman" w:hAnsi="Times New Roman" w:cs="Times New Roman"/>
          <w:color w:val="000000" w:themeColor="text1"/>
          <w:sz w:val="24"/>
          <w:szCs w:val="24"/>
          <w:shd w:val="clear" w:color="auto" w:fill="FFFFFF"/>
        </w:rPr>
        <w:t>Совет руководит работой ИСО в перерывах между сессиями Генеральной ассамблеи. Совет имеет право, не созывая Генеральной ассамблеи направить в комитеты-члены вопросы для консультации или поручить комитетам-членам их решение. Совет ИСО берёт на себя решение большинства вопросов, связанных с управлением.</w:t>
      </w:r>
    </w:p>
    <w:p w:rsidR="00A8710A" w:rsidRPr="00A8710A" w:rsidRDefault="00A8710A" w:rsidP="00A8710A">
      <w:pPr>
        <w:pStyle w:val="a4"/>
        <w:adjustRightInd w:val="0"/>
        <w:snapToGrid w:val="0"/>
        <w:spacing w:before="0" w:beforeAutospacing="0" w:after="0" w:afterAutospacing="0" w:line="360" w:lineRule="auto"/>
        <w:ind w:firstLine="709"/>
        <w:jc w:val="both"/>
        <w:rPr>
          <w:color w:val="000000" w:themeColor="text1"/>
        </w:rPr>
      </w:pPr>
      <w:r w:rsidRPr="00A8710A">
        <w:rPr>
          <w:color w:val="000000" w:themeColor="text1"/>
        </w:rPr>
        <w:t>Членство в Совете открыто для всех комитетов-членов ИСО и в нем происходит ротация для того, чтобы представительство стран — членов сообщества было полным.</w:t>
      </w:r>
    </w:p>
    <w:p w:rsidR="00A8710A" w:rsidRPr="00A8710A" w:rsidRDefault="00A8710A" w:rsidP="00A8710A">
      <w:pPr>
        <w:pStyle w:val="a4"/>
        <w:adjustRightInd w:val="0"/>
        <w:snapToGrid w:val="0"/>
        <w:spacing w:before="0" w:beforeAutospacing="0" w:after="0" w:afterAutospacing="0" w:line="360" w:lineRule="auto"/>
        <w:ind w:firstLine="709"/>
        <w:jc w:val="both"/>
        <w:rPr>
          <w:color w:val="000000" w:themeColor="text1"/>
        </w:rPr>
      </w:pPr>
      <w:r w:rsidRPr="00A8710A">
        <w:rPr>
          <w:color w:val="000000" w:themeColor="text1"/>
        </w:rPr>
        <w:t>Совету ИСО подчиняется семь комитетов: ПЛАКО (техническое бюро), ПРОФКО (методическая и информационная помощь); КАСКО (комитет по оценке соответствия); ИНФКО (комитет по научно-технической информации); ДЕВКО (комитет по оказанию помощи развивающимся странам); КОПОЛКО (комитет по защите интересов потребителей); РЕМКО (комитет по стандартным образцам).</w:t>
      </w:r>
    </w:p>
    <w:p w:rsidR="00A8710A" w:rsidRPr="00A8710A" w:rsidRDefault="00A8710A" w:rsidP="00A8710A">
      <w:pPr>
        <w:adjustRightInd w:val="0"/>
        <w:snapToGrid w:val="0"/>
        <w:spacing w:line="360" w:lineRule="auto"/>
        <w:ind w:firstLine="709"/>
        <w:jc w:val="both"/>
        <w:rPr>
          <w:rFonts w:ascii="Times New Roman" w:hAnsi="Times New Roman" w:cs="Times New Roman"/>
          <w:color w:val="000000" w:themeColor="text1"/>
          <w:sz w:val="24"/>
          <w:szCs w:val="24"/>
        </w:rPr>
      </w:pPr>
      <w:r w:rsidRPr="00A8710A">
        <w:rPr>
          <w:rFonts w:ascii="Times New Roman" w:hAnsi="Times New Roman" w:cs="Times New Roman"/>
          <w:color w:val="000000" w:themeColor="text1"/>
          <w:sz w:val="24"/>
          <w:szCs w:val="24"/>
          <w:shd w:val="clear" w:color="auto" w:fill="FFFFFF"/>
        </w:rPr>
        <w:t>Техническое руководящее бюро (ТРБ) отвечает за общее руководство структурой технических комитетов, которые занимаются разработкой стандартов, и любые стратегические консультативные органы, созданные по техническим вопросам. Одним из технических комитетов под руководством ТРБ является РЕМКО, который оказывает методическую помощь ИСО путём разработки соответствующих руководств по вопросам, касающимся стандартных образцов (эталонов).</w:t>
      </w:r>
    </w:p>
    <w:p w:rsidR="00A8710A" w:rsidRPr="00E77559" w:rsidRDefault="00A8710A" w:rsidP="00A8710A">
      <w:pPr>
        <w:autoSpaceDE w:val="0"/>
        <w:autoSpaceDN w:val="0"/>
        <w:adjustRightInd w:val="0"/>
        <w:snapToGrid w:val="0"/>
        <w:spacing w:line="360" w:lineRule="auto"/>
        <w:jc w:val="both"/>
        <w:rPr>
          <w:color w:val="000000" w:themeColor="text1"/>
          <w:sz w:val="28"/>
          <w:szCs w:val="28"/>
        </w:rPr>
      </w:pPr>
      <w:r w:rsidRPr="00E77559">
        <w:rPr>
          <w:color w:val="000000" w:themeColor="text1"/>
          <w:sz w:val="28"/>
          <w:szCs w:val="28"/>
        </w:rPr>
        <w:br w:type="page"/>
      </w:r>
    </w:p>
    <w:p w:rsidR="00A8710A" w:rsidRPr="00A8710A" w:rsidRDefault="00A8710A" w:rsidP="00A8710A">
      <w:pPr>
        <w:pStyle w:val="a3"/>
        <w:numPr>
          <w:ilvl w:val="0"/>
          <w:numId w:val="4"/>
        </w:numPr>
        <w:autoSpaceDE w:val="0"/>
        <w:autoSpaceDN w:val="0"/>
        <w:adjustRightInd w:val="0"/>
        <w:snapToGrid w:val="0"/>
        <w:spacing w:line="360" w:lineRule="auto"/>
        <w:jc w:val="both"/>
        <w:rPr>
          <w:rFonts w:ascii="Times New Roman" w:hAnsi="Times New Roman" w:cs="Times New Roman"/>
          <w:b/>
          <w:color w:val="000000" w:themeColor="text1"/>
          <w:sz w:val="28"/>
          <w:szCs w:val="28"/>
        </w:rPr>
      </w:pPr>
      <w:r w:rsidRPr="00A8710A">
        <w:rPr>
          <w:rFonts w:ascii="Times New Roman" w:hAnsi="Times New Roman" w:cs="Times New Roman"/>
          <w:b/>
          <w:color w:val="000000" w:themeColor="text1"/>
          <w:sz w:val="28"/>
          <w:szCs w:val="28"/>
        </w:rPr>
        <w:lastRenderedPageBreak/>
        <w:t>Организационная структура МЭК.</w:t>
      </w:r>
    </w:p>
    <w:p w:rsidR="00A8710A" w:rsidRPr="00A8710A" w:rsidRDefault="00A8710A" w:rsidP="00A8710A">
      <w:pPr>
        <w:pStyle w:val="a4"/>
        <w:adjustRightInd w:val="0"/>
        <w:snapToGrid w:val="0"/>
        <w:spacing w:before="0" w:beforeAutospacing="0" w:after="0" w:afterAutospacing="0" w:line="360" w:lineRule="auto"/>
        <w:ind w:firstLine="709"/>
        <w:jc w:val="both"/>
        <w:rPr>
          <w:color w:val="000000" w:themeColor="text1"/>
        </w:rPr>
      </w:pPr>
      <w:r w:rsidRPr="00A8710A">
        <w:rPr>
          <w:color w:val="000000" w:themeColor="text1"/>
        </w:rPr>
        <w:t>В рамках организационной структуры МЭК высшим руководящим органом является</w:t>
      </w:r>
      <w:r w:rsidRPr="00A8710A">
        <w:rPr>
          <w:rStyle w:val="apple-converted-space"/>
          <w:color w:val="000000" w:themeColor="text1"/>
        </w:rPr>
        <w:t> </w:t>
      </w:r>
      <w:r w:rsidRPr="00A8710A">
        <w:rPr>
          <w:b/>
          <w:bCs/>
          <w:color w:val="000000" w:themeColor="text1"/>
        </w:rPr>
        <w:t>Совет</w:t>
      </w:r>
      <w:r w:rsidRPr="00A8710A">
        <w:rPr>
          <w:rStyle w:val="apple-converted-space"/>
          <w:b/>
          <w:bCs/>
          <w:color w:val="000000" w:themeColor="text1"/>
        </w:rPr>
        <w:t> </w:t>
      </w:r>
      <w:r w:rsidRPr="00A8710A">
        <w:rPr>
          <w:color w:val="000000" w:themeColor="text1"/>
        </w:rPr>
        <w:t>МЭК, состоящий из национальных комитетов всех стран. Ежегодные заседания Совета проводятся поочередно в разных странах-членах МЭК. Решения в МЭК принимаются простым большинством голосов, но президент имеет право решающего голоса в случае равного распределения голосов.</w:t>
      </w:r>
    </w:p>
    <w:p w:rsidR="00A8710A" w:rsidRPr="00A8710A" w:rsidRDefault="00A8710A" w:rsidP="00A8710A">
      <w:pPr>
        <w:pStyle w:val="a4"/>
        <w:adjustRightInd w:val="0"/>
        <w:snapToGrid w:val="0"/>
        <w:spacing w:before="0" w:beforeAutospacing="0" w:after="0" w:afterAutospacing="0" w:line="360" w:lineRule="auto"/>
        <w:ind w:firstLine="709"/>
        <w:jc w:val="both"/>
        <w:rPr>
          <w:color w:val="000000" w:themeColor="text1"/>
        </w:rPr>
      </w:pPr>
      <w:r w:rsidRPr="00A8710A">
        <w:rPr>
          <w:color w:val="000000" w:themeColor="text1"/>
        </w:rPr>
        <w:t>Основной координирующий орган МЭК - Комитет действий. Кроме главной своей задачи - координации работы технических комитетов - Комитет действий выявляет необходимость новых направлений работ, разрабатывает методические документы, обеспечивающие техническую работу, участвует в решении вопросов сотрудничества с другими организациями, выполняет все задания Совета.</w:t>
      </w:r>
    </w:p>
    <w:p w:rsidR="00A8710A" w:rsidRPr="00A8710A" w:rsidRDefault="00A8710A" w:rsidP="00A8710A">
      <w:pPr>
        <w:pStyle w:val="a4"/>
        <w:adjustRightInd w:val="0"/>
        <w:snapToGrid w:val="0"/>
        <w:spacing w:before="0" w:beforeAutospacing="0" w:after="0" w:afterAutospacing="0" w:line="360" w:lineRule="auto"/>
        <w:ind w:firstLine="709"/>
        <w:jc w:val="both"/>
        <w:rPr>
          <w:color w:val="000000" w:themeColor="text1"/>
        </w:rPr>
      </w:pPr>
      <w:r w:rsidRPr="00A8710A">
        <w:rPr>
          <w:color w:val="000000" w:themeColor="text1"/>
        </w:rPr>
        <w:t>В подчинении Комитета действий работают консультативные группы, которые Комитет вправе создавать, если возникает необходимость координации по конкретным проблемам деятельности ТК.</w:t>
      </w:r>
    </w:p>
    <w:p w:rsidR="00A8710A" w:rsidRPr="00A8710A" w:rsidRDefault="00A8710A" w:rsidP="00A8710A">
      <w:pPr>
        <w:pStyle w:val="a4"/>
        <w:adjustRightInd w:val="0"/>
        <w:snapToGrid w:val="0"/>
        <w:spacing w:before="0" w:beforeAutospacing="0" w:after="0" w:afterAutospacing="0" w:line="360" w:lineRule="auto"/>
        <w:ind w:firstLine="709"/>
        <w:jc w:val="both"/>
        <w:rPr>
          <w:color w:val="000000" w:themeColor="text1"/>
        </w:rPr>
      </w:pPr>
      <w:r w:rsidRPr="00A8710A">
        <w:rPr>
          <w:color w:val="000000" w:themeColor="text1"/>
        </w:rPr>
        <w:t xml:space="preserve">Так, две консультативные группы разделили между собой разработку норм безопасности: Консультативный комитет по вопросам электробезопасности (АКОС) координирует действия около 20 Технических комитетов и Подкомитетов по электробытовым приборам, радиоэлектронной аппаратуре, высоковольтному оборудованию и др., а Консультативный комитет по вопросам электроники и связи (АСЕТ) занимается другими объектами стандартизации. Кроме того, Комитет действий счел целесообразным для более эффективной координации работы по созданию международных стандартов организовать Координационную группу по электромагнитной совместимости (КГЭМС), Координационную группу по технике информации (КГИТ) и Рабочую группу по координации размеров. </w:t>
      </w:r>
    </w:p>
    <w:p w:rsidR="00A8710A" w:rsidRPr="00A8710A" w:rsidRDefault="00A8710A" w:rsidP="00A8710A">
      <w:pPr>
        <w:pStyle w:val="a4"/>
        <w:adjustRightInd w:val="0"/>
        <w:snapToGrid w:val="0"/>
        <w:spacing w:before="0" w:beforeAutospacing="0" w:after="0" w:afterAutospacing="0" w:line="360" w:lineRule="auto"/>
        <w:ind w:firstLine="709"/>
        <w:jc w:val="both"/>
        <w:rPr>
          <w:color w:val="000000" w:themeColor="text1"/>
        </w:rPr>
      </w:pPr>
      <w:r w:rsidRPr="00A8710A">
        <w:rPr>
          <w:color w:val="000000" w:themeColor="text1"/>
        </w:rPr>
        <w:t>Деятельность данных консультативных комитетов направлена на поиск защиты от различных видов рисков (опасных факторов), например, пожарной опасности, взрывоопасности, опасности поражения электрическим током, химической и биологической опасности, опасности от излучений оборудования (звуковых, инфракрасных, ультрафиолетовых, радиационных и т.д.).</w:t>
      </w:r>
    </w:p>
    <w:p w:rsidR="00A8710A" w:rsidRPr="00A8710A" w:rsidRDefault="00A8710A" w:rsidP="00A8710A">
      <w:pPr>
        <w:pStyle w:val="a4"/>
        <w:adjustRightInd w:val="0"/>
        <w:snapToGrid w:val="0"/>
        <w:spacing w:before="0" w:beforeAutospacing="0" w:after="0" w:afterAutospacing="0" w:line="360" w:lineRule="auto"/>
        <w:ind w:firstLine="709"/>
        <w:jc w:val="both"/>
        <w:rPr>
          <w:color w:val="000000" w:themeColor="text1"/>
        </w:rPr>
      </w:pPr>
      <w:r w:rsidRPr="00A8710A">
        <w:rPr>
          <w:color w:val="000000" w:themeColor="text1"/>
        </w:rPr>
        <w:t>Непосредственно разработкой и принятием международных стандартов занимаются технические комитеты, подкомитеты и рабочие группы.</w:t>
      </w:r>
    </w:p>
    <w:p w:rsidR="00A8710A" w:rsidRPr="00E77559" w:rsidRDefault="00A8710A" w:rsidP="00A8710A">
      <w:pPr>
        <w:adjustRightInd w:val="0"/>
        <w:snapToGrid w:val="0"/>
        <w:spacing w:line="360" w:lineRule="auto"/>
        <w:jc w:val="both"/>
        <w:rPr>
          <w:color w:val="000000" w:themeColor="text1"/>
          <w:sz w:val="28"/>
          <w:szCs w:val="28"/>
        </w:rPr>
      </w:pPr>
      <w:r w:rsidRPr="00A8710A">
        <w:rPr>
          <w:rFonts w:ascii="Times New Roman" w:hAnsi="Times New Roman" w:cs="Times New Roman"/>
          <w:noProof/>
          <w:color w:val="000000" w:themeColor="text1"/>
          <w:sz w:val="24"/>
          <w:szCs w:val="24"/>
        </w:rPr>
        <w:drawing>
          <wp:inline distT="0" distB="0" distL="0" distR="0" wp14:anchorId="00FA6271" wp14:editId="209F47FE">
            <wp:extent cx="5358228" cy="344741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98"/>
                    <a:stretch/>
                  </pic:blipFill>
                  <pic:spPr bwMode="auto">
                    <a:xfrm>
                      <a:off x="0" y="0"/>
                      <a:ext cx="5375286" cy="3458390"/>
                    </a:xfrm>
                    <a:prstGeom prst="rect">
                      <a:avLst/>
                    </a:prstGeom>
                    <a:noFill/>
                    <a:ln>
                      <a:noFill/>
                    </a:ln>
                    <a:extLst>
                      <a:ext uri="{53640926-AAD7-44D8-BBD7-CCE9431645EC}">
                        <a14:shadowObscured xmlns:a14="http://schemas.microsoft.com/office/drawing/2010/main"/>
                      </a:ext>
                    </a:extLst>
                  </pic:spPr>
                </pic:pic>
              </a:graphicData>
            </a:graphic>
          </wp:inline>
        </w:drawing>
      </w:r>
    </w:p>
    <w:p w:rsidR="00A8710A" w:rsidRPr="00A8710A" w:rsidRDefault="00A8710A" w:rsidP="00A8710A">
      <w:pPr>
        <w:pStyle w:val="a3"/>
        <w:numPr>
          <w:ilvl w:val="0"/>
          <w:numId w:val="4"/>
        </w:numPr>
        <w:pBdr>
          <w:top w:val="none" w:sz="4" w:space="0" w:color="000000"/>
          <w:left w:val="none" w:sz="4" w:space="0" w:color="000000"/>
          <w:bottom w:val="none" w:sz="4" w:space="0" w:color="000000"/>
          <w:right w:val="none" w:sz="4" w:space="0" w:color="000000"/>
        </w:pBdr>
        <w:spacing w:after="0" w:line="360" w:lineRule="auto"/>
        <w:jc w:val="both"/>
        <w:rPr>
          <w:b/>
          <w:sz w:val="24"/>
        </w:rPr>
      </w:pPr>
      <w:r w:rsidRPr="00A8710A">
        <w:rPr>
          <w:rFonts w:ascii="Times New Roman" w:eastAsia="Times New Roman" w:hAnsi="Times New Roman" w:cs="Times New Roman"/>
          <w:b/>
          <w:color w:val="000000"/>
          <w:sz w:val="28"/>
        </w:rPr>
        <w:t>Технические комитеты ISO.</w:t>
      </w:r>
    </w:p>
    <w:p w:rsidR="00A8710A" w:rsidRDefault="00A8710A" w:rsidP="00A8710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организации ISO существуют технические комитеты, которые разрабатывают международные стандарты. Каждый технические комитет отвечает за свою сферу деятельности. Например, ТК 8 «Суда и морская техника», занимается стандартизацией проектирования</w:t>
      </w:r>
      <w:r w:rsidRPr="004C056F">
        <w:rPr>
          <w:rFonts w:ascii="Times New Roman" w:hAnsi="Times New Roman" w:cs="Times New Roman"/>
          <w:sz w:val="24"/>
          <w:szCs w:val="24"/>
        </w:rPr>
        <w:t>, строительства, обучения, конструктивных элементов, комплектующих деталей, оборудования, методов и технологий, используемых в судостроении</w:t>
      </w:r>
      <w:r>
        <w:rPr>
          <w:rFonts w:ascii="Times New Roman" w:hAnsi="Times New Roman" w:cs="Times New Roman"/>
          <w:sz w:val="24"/>
          <w:szCs w:val="24"/>
        </w:rPr>
        <w:t xml:space="preserve">. Однако в организации ISO нет ТК, отвечающих за стандартизацию в сфере электроники и электротехники. Также существует общий ТК </w:t>
      </w:r>
      <w:r w:rsidRPr="0009495F">
        <w:rPr>
          <w:rFonts w:ascii="Times New Roman" w:hAnsi="Times New Roman" w:cs="Times New Roman"/>
          <w:sz w:val="24"/>
          <w:szCs w:val="24"/>
        </w:rPr>
        <w:t xml:space="preserve">ISO/IEC JTC </w:t>
      </w:r>
      <w:r>
        <w:rPr>
          <w:rFonts w:ascii="Times New Roman" w:hAnsi="Times New Roman" w:cs="Times New Roman"/>
          <w:sz w:val="24"/>
          <w:szCs w:val="24"/>
        </w:rPr>
        <w:t>1 «Информационные технологии».</w:t>
      </w:r>
    </w:p>
    <w:p w:rsidR="00190882" w:rsidRPr="00B971EC" w:rsidRDefault="00190882" w:rsidP="00A8710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p>
    <w:p w:rsidR="00A8710A" w:rsidRPr="00A8710A" w:rsidRDefault="00A8710A" w:rsidP="00A8710A">
      <w:pPr>
        <w:pStyle w:val="a3"/>
        <w:numPr>
          <w:ilvl w:val="0"/>
          <w:numId w:val="4"/>
        </w:numPr>
        <w:pBdr>
          <w:top w:val="none" w:sz="4" w:space="0" w:color="000000"/>
          <w:left w:val="none" w:sz="4" w:space="0" w:color="000000"/>
          <w:bottom w:val="none" w:sz="4" w:space="0" w:color="000000"/>
          <w:right w:val="none" w:sz="4" w:space="0" w:color="000000"/>
        </w:pBdr>
        <w:spacing w:after="0" w:line="360" w:lineRule="auto"/>
        <w:jc w:val="both"/>
        <w:rPr>
          <w:b/>
          <w:sz w:val="24"/>
        </w:rPr>
      </w:pPr>
      <w:r w:rsidRPr="00A8710A">
        <w:rPr>
          <w:rFonts w:ascii="Times New Roman" w:eastAsia="Times New Roman" w:hAnsi="Times New Roman" w:cs="Times New Roman"/>
          <w:b/>
          <w:color w:val="000000"/>
          <w:sz w:val="28"/>
        </w:rPr>
        <w:t>Технические комитеты МЭК.</w:t>
      </w:r>
    </w:p>
    <w:p w:rsidR="00A8710A" w:rsidRDefault="00A8710A" w:rsidP="00A8710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организации МЭК существуют технические комитеты, которые разрабатывают международные стандарты. Так как данная организация занимается стандартизацией в области электротехники и электроники, то ТК разрабатывают стандарты, связанные с данной сферой. Например, ТК 1 определяет </w:t>
      </w:r>
      <w:r w:rsidRPr="00710711">
        <w:rPr>
          <w:rFonts w:ascii="Times New Roman" w:hAnsi="Times New Roman" w:cs="Times New Roman"/>
          <w:sz w:val="24"/>
          <w:szCs w:val="24"/>
        </w:rPr>
        <w:t>термины и определения, используемые в различных электротехнических областях, и определить эквивалентность терминов, используемых на разных языках. Как следствие, подгот</w:t>
      </w:r>
      <w:r>
        <w:rPr>
          <w:rFonts w:ascii="Times New Roman" w:hAnsi="Times New Roman" w:cs="Times New Roman"/>
          <w:sz w:val="24"/>
          <w:szCs w:val="24"/>
        </w:rPr>
        <w:t>авливает</w:t>
      </w:r>
      <w:r w:rsidRPr="00710711">
        <w:rPr>
          <w:rFonts w:ascii="Times New Roman" w:hAnsi="Times New Roman" w:cs="Times New Roman"/>
          <w:sz w:val="24"/>
          <w:szCs w:val="24"/>
        </w:rPr>
        <w:t xml:space="preserve"> Международный электротехнический словарь, направленный на стандартизацию и координацию терминов, относящихся к электрическим наукам и технике, для использования в техническом языке и литературе, в преподавании, в технических спецификациях и в коммерческих обменах, а также для предоставления их эквивалентов на разных языках.</w:t>
      </w:r>
    </w:p>
    <w:p w:rsidR="00A8710A" w:rsidRPr="00710711" w:rsidRDefault="00A8710A" w:rsidP="00A8710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p>
    <w:p w:rsidR="00A8710A" w:rsidRPr="00A8710A" w:rsidRDefault="00A8710A" w:rsidP="00A8710A">
      <w:pPr>
        <w:pStyle w:val="a3"/>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b/>
          <w:color w:val="000000"/>
          <w:sz w:val="28"/>
        </w:rPr>
      </w:pPr>
      <w:r w:rsidRPr="00A8710A">
        <w:rPr>
          <w:rFonts w:ascii="Times New Roman" w:eastAsia="Times New Roman" w:hAnsi="Times New Roman" w:cs="Times New Roman"/>
          <w:b/>
          <w:color w:val="000000"/>
          <w:sz w:val="28"/>
        </w:rPr>
        <w:t>Порядок разработки стандартов ISO.</w:t>
      </w:r>
    </w:p>
    <w:p w:rsidR="00A8710A" w:rsidRPr="0050626C" w:rsidRDefault="00A8710A" w:rsidP="00A8710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Международные стандарты разрабатываются техническими комитетами </w:t>
      </w:r>
      <w:r>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(ТК) и подкомитетами (ПК) в ходе шести-стадийного процесса:</w:t>
      </w:r>
    </w:p>
    <w:p w:rsidR="00A8710A" w:rsidRPr="0050626C" w:rsidRDefault="00A8710A" w:rsidP="00A8710A">
      <w:pPr>
        <w:pStyle w:val="a3"/>
        <w:numPr>
          <w:ilvl w:val="0"/>
          <w:numId w:val="5"/>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Стадия 1: Стадия предложения</w:t>
      </w:r>
      <w:r>
        <w:rPr>
          <w:rFonts w:ascii="Times New Roman" w:hAnsi="Times New Roman" w:cs="Times New Roman"/>
          <w:sz w:val="24"/>
          <w:szCs w:val="24"/>
        </w:rPr>
        <w:t xml:space="preserve"> – </w:t>
      </w:r>
      <w:r w:rsidRPr="0050626C">
        <w:rPr>
          <w:rFonts w:ascii="Times New Roman" w:eastAsia="Times New Roman" w:hAnsi="Times New Roman" w:cs="Times New Roman"/>
          <w:color w:val="000000"/>
          <w:sz w:val="24"/>
        </w:rPr>
        <w:t xml:space="preserve">Первый шаг в разработке международного стандарта </w:t>
      </w:r>
      <w:r>
        <w:rPr>
          <w:rFonts w:ascii="Times New Roman" w:hAnsi="Times New Roman" w:cs="Times New Roman"/>
          <w:sz w:val="24"/>
          <w:szCs w:val="24"/>
        </w:rPr>
        <w:t xml:space="preserve">– </w:t>
      </w:r>
      <w:r w:rsidRPr="0050626C">
        <w:rPr>
          <w:rFonts w:ascii="Times New Roman" w:eastAsia="Times New Roman" w:hAnsi="Times New Roman" w:cs="Times New Roman"/>
          <w:color w:val="000000"/>
          <w:sz w:val="24"/>
        </w:rPr>
        <w:t>подтверждение того, что конкретный международный стандарт необходим. Новое предложение</w:t>
      </w:r>
      <w:r>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направляется на голосование членам соответствующего ТК или ПК, чтобы определить необходимость включения соответствующего пункта в программу работы.</w:t>
      </w:r>
    </w:p>
    <w:p w:rsidR="00A8710A" w:rsidRPr="0050626C" w:rsidRDefault="00A8710A" w:rsidP="00A8710A">
      <w:pPr>
        <w:pStyle w:val="a3"/>
        <w:numPr>
          <w:ilvl w:val="0"/>
          <w:numId w:val="5"/>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2: Подготовительная стадия </w:t>
      </w:r>
      <w:r>
        <w:rPr>
          <w:rFonts w:ascii="Times New Roman" w:hAnsi="Times New Roman" w:cs="Times New Roman"/>
          <w:sz w:val="24"/>
          <w:szCs w:val="24"/>
        </w:rPr>
        <w:t>–</w:t>
      </w:r>
      <w:r w:rsidRPr="0050626C">
        <w:rPr>
          <w:rFonts w:ascii="Times New Roman" w:eastAsia="Times New Roman" w:hAnsi="Times New Roman" w:cs="Times New Roman"/>
          <w:color w:val="000000"/>
          <w:sz w:val="24"/>
        </w:rPr>
        <w:t xml:space="preserve"> Обычно для подготовки рабочего черновика ТК/ПК создаёт рабочую группу экспертов, председателем (созывающим членом) которой является лидер проекта. Могут приниматься различные редакции рабочих черновиков, до тех пор, пока рабочая группа не решит, что ею разработано наилучшее техническое решение рассматриваемой проблемы. </w:t>
      </w:r>
    </w:p>
    <w:p w:rsidR="00A8710A" w:rsidRPr="0050626C" w:rsidRDefault="00A8710A" w:rsidP="00A8710A">
      <w:pPr>
        <w:pStyle w:val="a3"/>
        <w:numPr>
          <w:ilvl w:val="0"/>
          <w:numId w:val="5"/>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3: Стадия комитета </w:t>
      </w:r>
      <w:r>
        <w:rPr>
          <w:rFonts w:ascii="Times New Roman" w:hAnsi="Times New Roman" w:cs="Times New Roman"/>
          <w:sz w:val="24"/>
          <w:szCs w:val="24"/>
        </w:rPr>
        <w:t>–</w:t>
      </w:r>
      <w:r w:rsidRPr="0050626C">
        <w:rPr>
          <w:rFonts w:ascii="Times New Roman" w:eastAsia="Times New Roman" w:hAnsi="Times New Roman" w:cs="Times New Roman"/>
          <w:color w:val="000000"/>
          <w:sz w:val="24"/>
        </w:rPr>
        <w:t xml:space="preserve"> Как только первый черновик комитета готов, он регистрируется Главным Секретариатом </w:t>
      </w:r>
      <w:r>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Могут готовиться разные редакции черновика комитета до тех пор, пока не будет достигнут консенсус по техническому содержанию текста. Как только консенсус достигнут, текст окончательно редактируется для представления в качестве черновика международного стандарта</w:t>
      </w:r>
      <w:r>
        <w:rPr>
          <w:rFonts w:ascii="Times New Roman" w:eastAsia="Times New Roman" w:hAnsi="Times New Roman" w:cs="Times New Roman"/>
          <w:color w:val="000000"/>
          <w:sz w:val="24"/>
        </w:rPr>
        <w:t>.</w:t>
      </w:r>
    </w:p>
    <w:p w:rsidR="00A8710A" w:rsidRPr="0050626C" w:rsidRDefault="00A8710A" w:rsidP="00A8710A">
      <w:pPr>
        <w:pStyle w:val="a3"/>
        <w:numPr>
          <w:ilvl w:val="0"/>
          <w:numId w:val="5"/>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4: Стадия вопросов </w:t>
      </w:r>
      <w:r>
        <w:rPr>
          <w:rFonts w:ascii="Times New Roman" w:hAnsi="Times New Roman" w:cs="Times New Roman"/>
          <w:sz w:val="24"/>
          <w:szCs w:val="24"/>
        </w:rPr>
        <w:t>–</w:t>
      </w:r>
      <w:r w:rsidRPr="0050626C">
        <w:rPr>
          <w:rFonts w:ascii="Times New Roman" w:eastAsia="Times New Roman" w:hAnsi="Times New Roman" w:cs="Times New Roman"/>
          <w:color w:val="000000"/>
          <w:sz w:val="24"/>
        </w:rPr>
        <w:t xml:space="preserve"> Черновик международного стандарта распространяется среди всех членов </w:t>
      </w:r>
      <w:r>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Главным Секретариатом </w:t>
      </w:r>
      <w:r>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для голосования и замечаний в течение пяти месяцев. Если критерии одобрения не выполнены, текст возвращается в исходный ТК/ПК для дальнейшего изучения, и исправленный документ снова публикуется для голосования и замечаний в качестве черновика международного стандарта.</w:t>
      </w:r>
    </w:p>
    <w:p w:rsidR="00A8710A" w:rsidRPr="0050626C" w:rsidRDefault="00A8710A" w:rsidP="00A8710A">
      <w:pPr>
        <w:pStyle w:val="a3"/>
        <w:numPr>
          <w:ilvl w:val="0"/>
          <w:numId w:val="5"/>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5: Стадия одобрения </w:t>
      </w:r>
      <w:r>
        <w:rPr>
          <w:rFonts w:ascii="Times New Roman" w:hAnsi="Times New Roman" w:cs="Times New Roman"/>
          <w:sz w:val="24"/>
          <w:szCs w:val="24"/>
        </w:rPr>
        <w:t>–</w:t>
      </w:r>
      <w:r w:rsidRPr="0050626C">
        <w:rPr>
          <w:rFonts w:ascii="Times New Roman" w:eastAsia="Times New Roman" w:hAnsi="Times New Roman" w:cs="Times New Roman"/>
          <w:color w:val="000000"/>
          <w:sz w:val="24"/>
        </w:rPr>
        <w:t xml:space="preserve"> Окончательная редакция черновика международного стандарта распространяется среди всех членов </w:t>
      </w:r>
      <w:r>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Главным Секретариатом </w:t>
      </w:r>
      <w:r>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xml:space="preserve"> для итогового голосования за/против в течение двух месяцев. Если в этот период поступают технические замечания, на этой стадии они уже не рассматриваются, но регистрируются для анализа в ходе будущего пересмотра данного международного стандарта.</w:t>
      </w:r>
    </w:p>
    <w:p w:rsidR="00A8710A" w:rsidRDefault="00A8710A" w:rsidP="00A8710A">
      <w:pPr>
        <w:pStyle w:val="a3"/>
        <w:numPr>
          <w:ilvl w:val="0"/>
          <w:numId w:val="5"/>
        </w:num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6: Стадия публикации </w:t>
      </w:r>
      <w:r>
        <w:rPr>
          <w:rFonts w:ascii="Times New Roman" w:hAnsi="Times New Roman" w:cs="Times New Roman"/>
          <w:sz w:val="24"/>
          <w:szCs w:val="24"/>
        </w:rPr>
        <w:t>–</w:t>
      </w:r>
      <w:r w:rsidRPr="0050626C">
        <w:rPr>
          <w:rFonts w:ascii="Times New Roman" w:eastAsia="Times New Roman" w:hAnsi="Times New Roman" w:cs="Times New Roman"/>
          <w:color w:val="000000"/>
          <w:sz w:val="24"/>
        </w:rPr>
        <w:t xml:space="preserve"> Когда окончательная редакция черновика международного стандарта одобрена, в итоговый текст разрешается, </w:t>
      </w:r>
      <w:r w:rsidRPr="0050626C">
        <w:rPr>
          <w:rFonts w:ascii="Times New Roman" w:eastAsia="Times New Roman" w:hAnsi="Times New Roman" w:cs="Times New Roman"/>
          <w:color w:val="000000"/>
          <w:sz w:val="24"/>
        </w:rPr>
        <w:lastRenderedPageBreak/>
        <w:t xml:space="preserve">при возникновении такой необходимости, вносить только небольшую редакторскую правку. Итоговый текст отсылается в Главный Секретариат </w:t>
      </w:r>
      <w:r>
        <w:rPr>
          <w:rFonts w:ascii="Times New Roman" w:eastAsia="Times New Roman" w:hAnsi="Times New Roman" w:cs="Times New Roman"/>
          <w:color w:val="000000"/>
          <w:sz w:val="24"/>
        </w:rPr>
        <w:t>ISO</w:t>
      </w:r>
      <w:r w:rsidRPr="0050626C">
        <w:rPr>
          <w:rFonts w:ascii="Times New Roman" w:eastAsia="Times New Roman" w:hAnsi="Times New Roman" w:cs="Times New Roman"/>
          <w:color w:val="000000"/>
          <w:sz w:val="24"/>
        </w:rPr>
        <w:t>, который публикует данный международный стандарт.</w:t>
      </w:r>
    </w:p>
    <w:p w:rsidR="00F92659" w:rsidRPr="00F92659" w:rsidRDefault="00F92659" w:rsidP="00F92659">
      <w:p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p>
    <w:p w:rsidR="00A8710A" w:rsidRPr="00F92659" w:rsidRDefault="00A8710A" w:rsidP="00F92659">
      <w:pPr>
        <w:pStyle w:val="a3"/>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b/>
          <w:color w:val="000000"/>
          <w:sz w:val="28"/>
        </w:rPr>
      </w:pPr>
      <w:r w:rsidRPr="00F92659">
        <w:rPr>
          <w:rFonts w:ascii="Times New Roman" w:eastAsia="Times New Roman" w:hAnsi="Times New Roman" w:cs="Times New Roman"/>
          <w:b/>
          <w:color w:val="000000"/>
          <w:sz w:val="28"/>
        </w:rPr>
        <w:t>Порядок разработки стандартов МЭК.</w:t>
      </w:r>
    </w:p>
    <w:p w:rsidR="00A8710A" w:rsidRPr="0037047E" w:rsidRDefault="00A8710A" w:rsidP="00A8710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Порядок разработки стандартов в МЭК идентичен с порядком разработки международных стандартов в ISO.</w:t>
      </w:r>
    </w:p>
    <w:p w:rsidR="00A8710A" w:rsidRPr="00A8710A" w:rsidRDefault="00A8710A" w:rsidP="00A8710A">
      <w:pPr>
        <w:pStyle w:val="a3"/>
        <w:numPr>
          <w:ilvl w:val="0"/>
          <w:numId w:val="7"/>
        </w:numPr>
        <w:adjustRightInd w:val="0"/>
        <w:snapToGrid w:val="0"/>
        <w:spacing w:line="360" w:lineRule="auto"/>
        <w:jc w:val="both"/>
        <w:rPr>
          <w:rFonts w:ascii="Times New Roman" w:hAnsi="Times New Roman" w:cs="Times New Roman"/>
          <w:color w:val="000000" w:themeColor="text1"/>
          <w:sz w:val="24"/>
          <w:szCs w:val="28"/>
        </w:rPr>
      </w:pPr>
      <w:r w:rsidRPr="00A8710A">
        <w:rPr>
          <w:rFonts w:ascii="Times New Roman" w:hAnsi="Times New Roman" w:cs="Times New Roman"/>
          <w:color w:val="000000" w:themeColor="text1"/>
          <w:sz w:val="24"/>
          <w:szCs w:val="28"/>
        </w:rPr>
        <w:t>Этап подачи предложения</w:t>
      </w:r>
    </w:p>
    <w:p w:rsidR="00A8710A" w:rsidRPr="00A8710A" w:rsidRDefault="00A8710A" w:rsidP="00A8710A">
      <w:pPr>
        <w:pStyle w:val="a3"/>
        <w:numPr>
          <w:ilvl w:val="0"/>
          <w:numId w:val="7"/>
        </w:numPr>
        <w:adjustRightInd w:val="0"/>
        <w:snapToGrid w:val="0"/>
        <w:spacing w:line="360" w:lineRule="auto"/>
        <w:jc w:val="both"/>
        <w:rPr>
          <w:rFonts w:ascii="Times New Roman" w:hAnsi="Times New Roman" w:cs="Times New Roman"/>
          <w:color w:val="000000" w:themeColor="text1"/>
          <w:sz w:val="24"/>
          <w:szCs w:val="28"/>
        </w:rPr>
      </w:pPr>
      <w:r w:rsidRPr="00A8710A">
        <w:rPr>
          <w:rFonts w:ascii="Times New Roman" w:hAnsi="Times New Roman" w:cs="Times New Roman"/>
          <w:color w:val="000000" w:themeColor="text1"/>
          <w:sz w:val="24"/>
          <w:szCs w:val="28"/>
        </w:rPr>
        <w:t>Подготовительный этап</w:t>
      </w:r>
    </w:p>
    <w:p w:rsidR="00A8710A" w:rsidRPr="00A8710A" w:rsidRDefault="00A8710A" w:rsidP="00A8710A">
      <w:pPr>
        <w:pStyle w:val="a3"/>
        <w:numPr>
          <w:ilvl w:val="0"/>
          <w:numId w:val="7"/>
        </w:numPr>
        <w:adjustRightInd w:val="0"/>
        <w:snapToGrid w:val="0"/>
        <w:spacing w:line="360" w:lineRule="auto"/>
        <w:jc w:val="both"/>
        <w:rPr>
          <w:rFonts w:ascii="Times New Roman" w:hAnsi="Times New Roman" w:cs="Times New Roman"/>
          <w:color w:val="000000" w:themeColor="text1"/>
          <w:sz w:val="24"/>
          <w:szCs w:val="28"/>
        </w:rPr>
      </w:pPr>
      <w:r w:rsidRPr="00A8710A">
        <w:rPr>
          <w:rFonts w:ascii="Times New Roman" w:hAnsi="Times New Roman" w:cs="Times New Roman"/>
          <w:color w:val="000000" w:themeColor="text1"/>
          <w:sz w:val="24"/>
          <w:szCs w:val="28"/>
        </w:rPr>
        <w:t>Этап комитета</w:t>
      </w:r>
    </w:p>
    <w:p w:rsidR="00A8710A" w:rsidRPr="00A8710A" w:rsidRDefault="00A8710A" w:rsidP="00A8710A">
      <w:pPr>
        <w:pStyle w:val="a3"/>
        <w:numPr>
          <w:ilvl w:val="0"/>
          <w:numId w:val="7"/>
        </w:numPr>
        <w:adjustRightInd w:val="0"/>
        <w:snapToGrid w:val="0"/>
        <w:spacing w:line="360" w:lineRule="auto"/>
        <w:jc w:val="both"/>
        <w:rPr>
          <w:rFonts w:ascii="Times New Roman" w:hAnsi="Times New Roman" w:cs="Times New Roman"/>
          <w:color w:val="000000" w:themeColor="text1"/>
          <w:sz w:val="24"/>
          <w:szCs w:val="28"/>
        </w:rPr>
      </w:pPr>
      <w:r w:rsidRPr="00A8710A">
        <w:rPr>
          <w:rFonts w:ascii="Times New Roman" w:hAnsi="Times New Roman" w:cs="Times New Roman"/>
          <w:color w:val="000000" w:themeColor="text1"/>
          <w:sz w:val="24"/>
          <w:szCs w:val="28"/>
        </w:rPr>
        <w:t>Этап рассмотрения</w:t>
      </w:r>
    </w:p>
    <w:p w:rsidR="00A8710A" w:rsidRPr="00A8710A" w:rsidRDefault="00A8710A" w:rsidP="00A8710A">
      <w:pPr>
        <w:pStyle w:val="a3"/>
        <w:numPr>
          <w:ilvl w:val="0"/>
          <w:numId w:val="7"/>
        </w:numPr>
        <w:adjustRightInd w:val="0"/>
        <w:snapToGrid w:val="0"/>
        <w:spacing w:line="360" w:lineRule="auto"/>
        <w:jc w:val="both"/>
        <w:rPr>
          <w:rFonts w:ascii="Times New Roman" w:hAnsi="Times New Roman" w:cs="Times New Roman"/>
          <w:color w:val="000000" w:themeColor="text1"/>
          <w:sz w:val="24"/>
          <w:szCs w:val="28"/>
        </w:rPr>
      </w:pPr>
      <w:r w:rsidRPr="00A8710A">
        <w:rPr>
          <w:rFonts w:ascii="Times New Roman" w:hAnsi="Times New Roman" w:cs="Times New Roman"/>
          <w:color w:val="000000" w:themeColor="text1"/>
          <w:sz w:val="24"/>
          <w:szCs w:val="28"/>
        </w:rPr>
        <w:t>Оценка соответствия</w:t>
      </w:r>
    </w:p>
    <w:p w:rsidR="00A8710A" w:rsidRPr="00E77559" w:rsidRDefault="00A8710A" w:rsidP="00A8710A">
      <w:pPr>
        <w:rPr>
          <w:b/>
          <w:bCs/>
          <w:color w:val="000000" w:themeColor="text1"/>
          <w:sz w:val="28"/>
          <w:szCs w:val="28"/>
        </w:rPr>
      </w:pPr>
    </w:p>
    <w:p w:rsidR="009A4CD6" w:rsidRDefault="009A4CD6"/>
    <w:sectPr w:rsidR="009A4C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1353"/>
    <w:multiLevelType w:val="hybridMultilevel"/>
    <w:tmpl w:val="34203884"/>
    <w:lvl w:ilvl="0" w:tplc="78222792">
      <w:start w:val="1"/>
      <w:numFmt w:val="decimal"/>
      <w:lvlText w:val="%1."/>
      <w:lvlJc w:val="right"/>
      <w:pPr>
        <w:ind w:left="709" w:hanging="360"/>
      </w:pPr>
      <w:rPr>
        <w:rFonts w:ascii="Times New Roman" w:eastAsia="Times New Roman" w:hAnsi="Times New Roman" w:cs="Times New Roman"/>
        <w:color w:val="000000"/>
        <w:sz w:val="24"/>
      </w:rPr>
    </w:lvl>
    <w:lvl w:ilvl="1" w:tplc="83D63262">
      <w:start w:val="1"/>
      <w:numFmt w:val="decimal"/>
      <w:lvlText w:val="%2."/>
      <w:lvlJc w:val="right"/>
      <w:pPr>
        <w:ind w:left="1429" w:hanging="360"/>
      </w:pPr>
    </w:lvl>
    <w:lvl w:ilvl="2" w:tplc="633EA118">
      <w:start w:val="1"/>
      <w:numFmt w:val="decimal"/>
      <w:lvlText w:val="%3."/>
      <w:lvlJc w:val="right"/>
      <w:pPr>
        <w:ind w:left="2149" w:hanging="180"/>
      </w:pPr>
    </w:lvl>
    <w:lvl w:ilvl="3" w:tplc="C77C591A">
      <w:start w:val="1"/>
      <w:numFmt w:val="decimal"/>
      <w:lvlText w:val="%4."/>
      <w:lvlJc w:val="right"/>
      <w:pPr>
        <w:ind w:left="2869" w:hanging="360"/>
      </w:pPr>
    </w:lvl>
    <w:lvl w:ilvl="4" w:tplc="C3262674">
      <w:start w:val="1"/>
      <w:numFmt w:val="decimal"/>
      <w:lvlText w:val="%5."/>
      <w:lvlJc w:val="right"/>
      <w:pPr>
        <w:ind w:left="3589" w:hanging="360"/>
      </w:pPr>
    </w:lvl>
    <w:lvl w:ilvl="5" w:tplc="A64C30F8">
      <w:start w:val="1"/>
      <w:numFmt w:val="decimal"/>
      <w:lvlText w:val="%6."/>
      <w:lvlJc w:val="right"/>
      <w:pPr>
        <w:ind w:left="4309" w:hanging="180"/>
      </w:pPr>
    </w:lvl>
    <w:lvl w:ilvl="6" w:tplc="0BFAD11E">
      <w:start w:val="1"/>
      <w:numFmt w:val="decimal"/>
      <w:lvlText w:val="%7."/>
      <w:lvlJc w:val="right"/>
      <w:pPr>
        <w:ind w:left="5029" w:hanging="360"/>
      </w:pPr>
    </w:lvl>
    <w:lvl w:ilvl="7" w:tplc="1200D3A2">
      <w:start w:val="1"/>
      <w:numFmt w:val="decimal"/>
      <w:lvlText w:val="%8."/>
      <w:lvlJc w:val="right"/>
      <w:pPr>
        <w:ind w:left="5749" w:hanging="360"/>
      </w:pPr>
    </w:lvl>
    <w:lvl w:ilvl="8" w:tplc="74DA5FCC">
      <w:start w:val="1"/>
      <w:numFmt w:val="decimal"/>
      <w:lvlText w:val="%9."/>
      <w:lvlJc w:val="right"/>
      <w:pPr>
        <w:ind w:left="6469" w:hanging="180"/>
      </w:pPr>
    </w:lvl>
  </w:abstractNum>
  <w:abstractNum w:abstractNumId="1" w15:restartNumberingAfterBreak="0">
    <w:nsid w:val="1CEE7BE0"/>
    <w:multiLevelType w:val="hybridMultilevel"/>
    <w:tmpl w:val="2DAA425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4D11482"/>
    <w:multiLevelType w:val="hybridMultilevel"/>
    <w:tmpl w:val="EE084F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3B4E555C"/>
    <w:multiLevelType w:val="hybridMultilevel"/>
    <w:tmpl w:val="F3C46CB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A3D4D9A"/>
    <w:multiLevelType w:val="hybridMultilevel"/>
    <w:tmpl w:val="BDF6207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51F27372"/>
    <w:multiLevelType w:val="hybridMultilevel"/>
    <w:tmpl w:val="A86484E8"/>
    <w:lvl w:ilvl="0" w:tplc="5A34018C">
      <w:start w:val="1"/>
      <w:numFmt w:val="decimal"/>
      <w:lvlText w:val="%1."/>
      <w:lvlJc w:val="left"/>
      <w:pPr>
        <w:ind w:left="785"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FA153F4"/>
    <w:multiLevelType w:val="hybridMultilevel"/>
    <w:tmpl w:val="03484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A53"/>
    <w:rsid w:val="00190882"/>
    <w:rsid w:val="001D30DC"/>
    <w:rsid w:val="001E1BB4"/>
    <w:rsid w:val="00557E12"/>
    <w:rsid w:val="00613A53"/>
    <w:rsid w:val="009A4CD6"/>
    <w:rsid w:val="00A8710A"/>
    <w:rsid w:val="00F92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4A09"/>
  <w15:chartTrackingRefBased/>
  <w15:docId w15:val="{C6D2BC8B-B763-4E31-AE98-8CE12D23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4CD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E12"/>
    <w:pPr>
      <w:ind w:left="720"/>
      <w:contextualSpacing/>
    </w:pPr>
  </w:style>
  <w:style w:type="paragraph" w:styleId="a4">
    <w:name w:val="Normal (Web)"/>
    <w:basedOn w:val="a"/>
    <w:uiPriority w:val="99"/>
    <w:semiHidden/>
    <w:unhideWhenUsed/>
    <w:rsid w:val="00A871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87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1530</Words>
  <Characters>8722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Белый</dc:creator>
  <cp:keywords/>
  <dc:description/>
  <cp:lastModifiedBy>Дмитрий Белый</cp:lastModifiedBy>
  <cp:revision>9</cp:revision>
  <dcterms:created xsi:type="dcterms:W3CDTF">2022-06-13T12:31:00Z</dcterms:created>
  <dcterms:modified xsi:type="dcterms:W3CDTF">2022-06-13T12:41:00Z</dcterms:modified>
</cp:coreProperties>
</file>