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680" w:lineRule="exact"/>
      </w:pPr>
    </w:p>
    <w:p>
      <w:pPr>
        <w:spacing w:before="0" w:after="120"/>
        <w:jc w:val="center"/>
      </w:pPr>
      <w:r>
        <w:rPr>
          <w:b/>
          <w:color w:val="1F3A5F"/>
          <w:sz w:val="52"/>
        </w:rPr>
        <w:t>Heart Disease Risk Prediction</w:t>
      </w:r>
    </w:p>
    <w:p>
      <w:pPr>
        <w:spacing w:before="0" w:after="0"/>
        <w:jc w:val="center"/>
      </w:pPr>
      <w:r>
        <w:rPr>
          <w:sz w:val="26"/>
        </w:rPr>
        <w:t>End-to-End MLOps Pipeline</w:t>
      </w:r>
    </w:p>
    <w:p>
      <w:pPr>
        <w:spacing w:after="0" w:line="340" w:lineRule="exact"/>
      </w:pPr>
    </w:p>
    <w:p>
      <w:pPr>
        <w:spacing w:before="0" w:after="0"/>
        <w:jc w:val="center"/>
      </w:pPr>
      <w:r>
        <w:rPr>
          <w:sz w:val="26"/>
        </w:rPr>
        <w:t>Machine Learning Operations (MLOps) - AIMLCZG523 - Assignment 01</w:t>
      </w:r>
    </w:p>
    <w:p>
      <w:pPr>
        <w:spacing w:after="0" w:line="454" w:lineRule="exact"/>
      </w:pP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4819"/>
        <w:gridCol w:w="4819"/>
      </w:tblGrid>
      <w:tr>
        <w:trPr>
          <w:cantSplit/>
        </w:trPr>
        <w:tc>
          <w:tcPr>
            <w:tcW w:type="dxa" w:w="2268"/>
          </w:tcPr>
          <w:p>
            <w:pPr>
              <w:spacing w:before="0" w:after="40"/>
            </w:pPr>
            <w:r>
              <w:rPr>
                <w:sz w:val="17"/>
              </w:rPr>
              <w:t>Student</w:t>
            </w:r>
          </w:p>
        </w:tc>
        <w:tc>
          <w:tcPr>
            <w:tcW w:type="dxa" w:w="6236"/>
          </w:tcPr>
          <w:p>
            <w:pPr>
              <w:spacing w:before="0" w:after="40"/>
            </w:pPr>
            <w:r>
              <w:rPr>
                <w:sz w:val="17"/>
              </w:rPr>
              <w:t>Dinesh Kumar Yadav</w:t>
            </w:r>
          </w:p>
        </w:tc>
      </w:tr>
      <w:tr>
        <w:trPr>
          <w:cantSplit/>
        </w:trPr>
        <w:tc>
          <w:tcPr>
            <w:tcW w:type="dxa" w:w="2268"/>
          </w:tcPr>
          <w:p>
            <w:pPr>
              <w:spacing w:before="0" w:after="40"/>
            </w:pPr>
            <w:r>
              <w:rPr>
                <w:sz w:val="17"/>
              </w:rPr>
              <w:t>ID</w:t>
            </w:r>
          </w:p>
        </w:tc>
        <w:tc>
          <w:tcPr>
            <w:tcW w:type="dxa" w:w="6236"/>
          </w:tcPr>
          <w:p>
            <w:pPr>
              <w:spacing w:before="0" w:after="40"/>
            </w:pPr>
            <w:r>
              <w:rPr>
                <w:sz w:val="17"/>
              </w:rPr>
              <w:t>2025CT05018</w:t>
            </w:r>
          </w:p>
        </w:tc>
      </w:tr>
      <w:tr>
        <w:trPr>
          <w:cantSplit/>
        </w:trPr>
        <w:tc>
          <w:tcPr>
            <w:tcW w:type="dxa" w:w="2268"/>
          </w:tcPr>
          <w:p>
            <w:pPr>
              <w:spacing w:before="0" w:after="40"/>
            </w:pPr>
            <w:r>
              <w:rPr>
                <w:sz w:val="17"/>
              </w:rPr>
              <w:t>Programme</w:t>
            </w:r>
          </w:p>
        </w:tc>
        <w:tc>
          <w:tcPr>
            <w:tcW w:type="dxa" w:w="6236"/>
          </w:tcPr>
          <w:p>
            <w:pPr>
              <w:spacing w:before="0" w:after="40"/>
            </w:pPr>
            <w:r>
              <w:rPr>
                <w:sz w:val="17"/>
              </w:rPr>
              <w:t>M.Tech (AI/ML), BITS Pilani WILP</w:t>
            </w:r>
          </w:p>
        </w:tc>
      </w:tr>
      <w:tr>
        <w:trPr>
          <w:cantSplit/>
        </w:trPr>
        <w:tc>
          <w:tcPr>
            <w:tcW w:type="dxa" w:w="2268"/>
          </w:tcPr>
          <w:p>
            <w:pPr>
              <w:spacing w:before="0" w:after="40"/>
            </w:pPr>
            <w:r>
              <w:rPr>
                <w:sz w:val="17"/>
              </w:rPr>
              <w:t>Code repository</w:t>
            </w:r>
          </w:p>
        </w:tc>
        <w:tc>
          <w:tcPr>
            <w:tcW w:type="dxa" w:w="6236"/>
          </w:tcPr>
          <w:p>
            <w:pPr>
              <w:spacing w:before="0" w:after="40"/>
            </w:pPr>
            <w:r>
              <w:rPr>
                <w:sz w:val="17"/>
              </w:rPr>
              <w:t>https://github.com/Dinesh-Bits-2026/heart-disease-mlops</w:t>
            </w:r>
          </w:p>
        </w:tc>
      </w:tr>
      <w:tr>
        <w:trPr>
          <w:cantSplit/>
        </w:trPr>
        <w:tc>
          <w:tcPr>
            <w:tcW w:type="dxa" w:w="2268"/>
          </w:tcPr>
          <w:p>
            <w:pPr>
              <w:spacing w:before="0" w:after="40"/>
            </w:pPr>
            <w:r>
              <w:rPr>
                <w:sz w:val="17"/>
              </w:rPr>
              <w:t>Pipeline video</w:t>
            </w:r>
          </w:p>
        </w:tc>
        <w:tc>
          <w:tcPr>
            <w:tcW w:type="dxa" w:w="6236"/>
          </w:tcPr>
          <w:p>
            <w:pPr>
              <w:spacing w:before="0" w:after="40"/>
            </w:pPr>
            <w:r>
              <w:rPr>
                <w:sz w:val="17"/>
                <w:highlight w:val="yellow"/>
              </w:rPr>
              <w:t>link to your pipeline video, or file name if submitted separately</w:t>
            </w:r>
          </w:p>
        </w:tc>
      </w:tr>
      <w:tr>
        <w:trPr>
          <w:cantSplit/>
        </w:trPr>
        <w:tc>
          <w:tcPr>
            <w:tcW w:type="dxa" w:w="2268"/>
          </w:tcPr>
          <w:p>
            <w:pPr>
              <w:spacing w:before="0" w:after="40"/>
            </w:pPr>
            <w:r>
              <w:rPr>
                <w:sz w:val="17"/>
              </w:rPr>
              <w:t>Date</w:t>
            </w:r>
          </w:p>
        </w:tc>
        <w:tc>
          <w:tcPr>
            <w:tcW w:type="dxa" w:w="6236"/>
          </w:tcPr>
          <w:p>
            <w:pPr>
              <w:spacing w:before="0" w:after="40"/>
            </w:pPr>
            <w:r>
              <w:rPr>
                <w:sz w:val="17"/>
              </w:rPr>
              <w:t>18 October 2026</w:t>
            </w:r>
          </w:p>
        </w:tc>
      </w:tr>
    </w:tbl>
    <w:p>
      <w:pPr>
        <w:spacing w:after="40"/>
      </w:pPr>
    </w:p>
    <w:p>
      <w:pPr>
        <w:spacing w:after="0" w:line="454" w:lineRule="exact"/>
      </w:pPr>
    </w:p>
    <w:p>
      <w:pPr>
        <w:keepNext/>
        <w:spacing w:before="280" w:after="160"/>
      </w:pPr>
      <w:r>
        <w:rPr>
          <w:b/>
          <w:color w:val="1F3A5F"/>
          <w:sz w:val="30"/>
        </w:rPr>
        <w:t>Contents</w:t>
      </w:r>
    </w:p>
    <w:p>
      <w:pPr>
        <w:spacing w:after="60"/>
      </w:pPr>
      <w:r>
        <w:fldChar w:fldCharType="begin"/>
      </w:r>
      <w:r>
        <w:instrText xml:space="preserve"> TOC \o "1-1" \h \z \u </w:instrText>
      </w:r>
      <w:r>
        <w:fldChar w:fldCharType="separate"/>
      </w:r>
      <w:r>
        <w:t>1. Introduction and Objective</w:t>
      </w:r>
    </w:p>
    <w:p>
      <w:pPr>
        <w:spacing w:after="60"/>
      </w:pPr>
      <w:r>
        <w:t>2. Architecture</w:t>
      </w:r>
    </w:p>
    <w:p>
      <w:pPr>
        <w:spacing w:after="60"/>
      </w:pPr>
      <w:r>
        <w:t>3. Setup and Installation</w:t>
      </w:r>
    </w:p>
    <w:p>
      <w:pPr>
        <w:spacing w:after="60"/>
      </w:pPr>
      <w:r>
        <w:t>4. Data Acquisition and EDA</w:t>
      </w:r>
    </w:p>
    <w:p>
      <w:pPr>
        <w:spacing w:after="60"/>
      </w:pPr>
      <w:r>
        <w:t>5. Feature Engineering and Model Development</w:t>
      </w:r>
    </w:p>
    <w:p>
      <w:pPr>
        <w:spacing w:after="60"/>
      </w:pPr>
      <w:r>
        <w:t>6. Experiment Tracking with MLflow</w:t>
      </w:r>
    </w:p>
    <w:p>
      <w:pPr>
        <w:spacing w:after="60"/>
      </w:pPr>
      <w:r>
        <w:t>7. Model Packaging and Reproducibility</w:t>
      </w:r>
    </w:p>
    <w:p>
      <w:pPr>
        <w:spacing w:after="60"/>
      </w:pPr>
      <w:r>
        <w:t>8. CI/CD Pipeline and Automated Testing</w:t>
      </w:r>
    </w:p>
    <w:p>
      <w:pPr>
        <w:spacing w:after="60"/>
      </w:pPr>
      <w:r>
        <w:t>9. Model Containerisation and API</w:t>
      </w:r>
    </w:p>
    <w:p>
      <w:pPr>
        <w:spacing w:after="60"/>
      </w:pPr>
      <w:r>
        <w:t>10. Production Deployment on Kubernetes</w:t>
      </w:r>
    </w:p>
    <w:p>
      <w:pPr>
        <w:spacing w:after="60"/>
      </w:pPr>
      <w:r>
        <w:t>11. Monitoring and Logging</w:t>
      </w:r>
    </w:p>
    <w:p>
      <w:pPr>
        <w:spacing w:after="60"/>
      </w:pPr>
      <w:r>
        <w:t>12. Repository, Deliverables and Limitations</w:t>
      </w:r>
      <w:r>
        <w:fldChar w:fldCharType="end"/>
      </w:r>
    </w:p>
    <w:p>
      <w:r>
        <w:br w:type="page"/>
      </w:r>
    </w:p>
    <w:p>
      <w:pPr>
        <w:pStyle w:val="Heading1"/>
      </w:pPr>
      <w:r>
        <w:rPr>
          <w:b/>
        </w:rPr>
        <w:t>1. Introduction and Objective</w:t>
      </w:r>
    </w:p>
    <w:p>
      <w:pPr>
        <w:spacing w:before="0" w:after="120"/>
      </w:pPr>
      <w:r>
        <w:rPr>
          <w:sz w:val="20"/>
        </w:rPr>
        <w:t>The goal of this project is to build a classifier that predicts the risk of heart disease from patient health data and to deliver it as a reproducible, tested, containerised and monitored API, following MLOps practice. The data is the Cleveland subset of the UCI Heart Disease dataset (age, sex, chest pain type, blood pressure, cholesterol, ECG results, maximum heart rate and related measurements). The original 0-4 disease grade is converted to a binary target (0 = no disease, 1 = disease). The cleaned dataset has 303 patient records and 14 columns (13 features plus the target); 139 records (45.9%) are labelled as heart disease present and 164 (54.1%) as absent.</w:t>
      </w:r>
    </w:p>
    <w:p>
      <w:pPr>
        <w:spacing w:before="0" w:after="120"/>
      </w:pPr>
      <w:r>
        <w:rPr>
          <w:sz w:val="20"/>
        </w:rPr>
        <w:t>The project covers the full lifecycle: data acquisition and EDA, feature engineering, model training and tuning, experiment tracking with MLflow, packaging, automated testing and CI/CD with GitHub Actions, containerisation with Docker, deployment on Kubernetes, and monitoring with Prometheus and Grafana.</w:t>
      </w:r>
    </w:p>
    <w:p>
      <w:pPr>
        <w:pStyle w:val="Heading1"/>
      </w:pPr>
      <w:r>
        <w:rPr>
          <w:b/>
        </w:rPr>
        <w:t>2. Architecture</w:t>
      </w:r>
    </w:p>
    <w:p>
      <w:pPr>
        <w:keepNext/>
        <w:spacing w:after="40"/>
        <w:jc w:val="center"/>
      </w:pPr>
      <w:r>
        <w:drawing>
          <wp:inline xmlns:a="http://schemas.openxmlformats.org/drawingml/2006/main" xmlns:pic="http://schemas.openxmlformats.org/drawingml/2006/picture">
            <wp:extent cx="5940000" cy="317412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3174124"/>
                    </a:xfrm>
                    <a:prstGeom prst="rect"/>
                  </pic:spPr>
                </pic:pic>
              </a:graphicData>
            </a:graphic>
          </wp:inline>
        </w:drawing>
      </w:r>
    </w:p>
    <w:p>
      <w:pPr>
        <w:spacing w:before="0" w:after="160"/>
        <w:jc w:val="center"/>
      </w:pPr>
      <w:r>
        <w:rPr>
          <w:i/>
          <w:color w:val="444444"/>
          <w:sz w:val="17"/>
        </w:rPr>
        <w:t>Architecture of the pipeline (generated by scripts/build_report.py).</w:t>
      </w:r>
    </w:p>
    <w:p>
      <w:pPr>
        <w:spacing w:before="0" w:after="120"/>
      </w:pPr>
      <w:r>
        <w:rPr>
          <w:sz w:val="20"/>
        </w:rPr>
        <w:t>Data flows left to right through the ML pipeline into a packaged model. The model is baked into a Docker image with a FastAPI service, which is deployed on Kubernetes and exposed through a LoadBalancer service. GitHub Actions lints, tests, trains and builds the image on every push. The service exposes Prometheus metrics, which Grafana visualises.</w:t>
      </w:r>
    </w:p>
    <w:p>
      <w:pPr>
        <w:pStyle w:val="Heading1"/>
      </w:pPr>
      <w:r>
        <w:rPr>
          <w:b/>
        </w:rPr>
        <w:t>3. Setup and Installation</w:t>
      </w:r>
    </w:p>
    <w:p>
      <w:pPr>
        <w:spacing w:before="0" w:after="120"/>
      </w:pPr>
      <w:r>
        <w:rPr>
          <w:sz w:val="20"/>
        </w:rPr>
        <w:t>Requirements: Python 3.11, Git, Docker Desktop (with Kubernetes enabled for Section 8).</w:t>
      </w:r>
    </w:p>
    <w:p>
      <w:pPr>
        <w:keepLines/>
        <w:shd w:val="clear" w:color="auto" w:fill="F3F3F3"/>
        <w:spacing w:after="160"/>
      </w:pPr>
      <w:r>
        <w:rPr>
          <w:rFonts w:ascii="Consolas" w:hAnsi="Consolas"/>
          <w:sz w:val="15"/>
        </w:rPr>
        <w:t>git clone &lt;repository-url&gt;</w:t>
        <w:br/>
        <w:t>cd heart-disease-mlops</w:t>
        <w:br/>
        <w:t>py -3.11 -m venv .venv</w:t>
        <w:br/>
        <w:t>.\.venv\Scripts\Activate.ps1</w:t>
        <w:br/>
        <w:t>pip install -r requirements.txt -r requirements-dev.txt</w:t>
        <w:br/>
        <w:t>python src/download_data.py          # download + clean the dataset</w:t>
        <w:br/>
        <w:t>python -m src.train                  # train, track with MLflow, save the model</w:t>
        <w:br/>
        <w:t>mlflow ui --backend-store-uri sqlite:///mlflow.db</w:t>
        <w:br/>
        <w:t>python -m pytest -v                  # unit tests</w:t>
        <w:br/>
        <w:t>flake8 src api tests                 # lint</w:t>
        <w:br/>
        <w:t>docker build -t heart-disease-api:v1 .</w:t>
        <w:br/>
        <w:t>docker run --rm -p 8000:8000 heart-disease-api:v1</w:t>
        <w:br/>
        <w:t>kubectl apply -f k8s/                # Kubernetes deployment</w:t>
        <w:br/>
        <w:t>docker compose up -d                 # API + Prometheus + Grafana</w:t>
        <w:br/>
        <w:t>python scripts/generate_traffic.py --n 200</w:t>
      </w:r>
    </w:p>
    <w:p>
      <w:pPr>
        <w:spacing w:before="0" w:after="120"/>
      </w:pPr>
      <w:r>
        <w:rPr>
          <w:sz w:val="20"/>
        </w:rPr>
        <w:t xml:space="preserve">The repository layout is: </w:t>
      </w:r>
      <w:r>
        <w:rPr>
          <w:b/>
          <w:sz w:val="20"/>
        </w:rPr>
        <w:t>src/</w:t>
      </w:r>
      <w:r>
        <w:rPr>
          <w:sz w:val="20"/>
        </w:rPr>
        <w:t xml:space="preserve"> (data, features, training, prediction), </w:t>
      </w:r>
      <w:r>
        <w:rPr>
          <w:b/>
          <w:sz w:val="20"/>
        </w:rPr>
        <w:t>api/</w:t>
      </w:r>
      <w:r>
        <w:rPr>
          <w:sz w:val="20"/>
        </w:rPr>
        <w:t xml:space="preserve"> (FastAPI service), </w:t>
      </w:r>
      <w:r>
        <w:rPr>
          <w:b/>
          <w:sz w:val="20"/>
        </w:rPr>
        <w:t>tests/</w:t>
      </w:r>
      <w:r>
        <w:rPr>
          <w:sz w:val="20"/>
        </w:rPr>
        <w:t xml:space="preserve"> (pytest), </w:t>
      </w:r>
      <w:r>
        <w:rPr>
          <w:b/>
          <w:sz w:val="20"/>
        </w:rPr>
        <w:t>k8s/</w:t>
      </w:r>
      <w:r>
        <w:rPr>
          <w:sz w:val="20"/>
        </w:rPr>
        <w:t xml:space="preserve"> (manifests), </w:t>
      </w:r>
      <w:r>
        <w:rPr>
          <w:b/>
          <w:sz w:val="20"/>
        </w:rPr>
        <w:t>monitoring/</w:t>
      </w:r>
      <w:r>
        <w:rPr>
          <w:sz w:val="20"/>
        </w:rPr>
        <w:t xml:space="preserve"> (Prometheus and Grafana configuration), </w:t>
      </w:r>
      <w:r>
        <w:rPr>
          <w:b/>
          <w:sz w:val="20"/>
        </w:rPr>
        <w:t>.github/workflows/</w:t>
      </w:r>
      <w:r>
        <w:rPr>
          <w:sz w:val="20"/>
        </w:rPr>
        <w:t xml:space="preserve"> (CI), </w:t>
      </w:r>
      <w:r>
        <w:rPr>
          <w:b/>
          <w:sz w:val="20"/>
        </w:rPr>
        <w:t>notebooks/</w:t>
      </w:r>
      <w:r>
        <w:rPr>
          <w:sz w:val="20"/>
        </w:rPr>
        <w:t xml:space="preserve"> (EDA) and </w:t>
      </w:r>
      <w:r>
        <w:rPr>
          <w:b/>
          <w:sz w:val="20"/>
        </w:rPr>
        <w:t>screenshots/</w:t>
      </w:r>
      <w:r>
        <w:rPr>
          <w:sz w:val="20"/>
        </w:rPr>
        <w:t>.</w:t>
      </w:r>
    </w:p>
    <w:p>
      <w:pPr>
        <w:pStyle w:val="Heading1"/>
      </w:pPr>
      <w:r>
        <w:rPr>
          <w:b/>
        </w:rPr>
        <w:t>4. Data Acquisition and EDA</w:t>
      </w:r>
    </w:p>
    <w:p>
      <w:pPr>
        <w:spacing w:before="0" w:after="120"/>
      </w:pPr>
      <w:r>
        <w:rPr>
          <w:b/>
          <w:sz w:val="20"/>
        </w:rPr>
        <w:t>Acquisition.</w:t>
      </w:r>
      <w:r>
        <w:rPr>
          <w:sz w:val="20"/>
        </w:rPr>
        <w:t xml:space="preserve"> </w:t>
      </w:r>
      <w:r>
        <w:rPr>
          <w:i/>
          <w:sz w:val="20"/>
        </w:rPr>
        <w:t>src/download_data.py</w:t>
      </w:r>
      <w:r>
        <w:rPr>
          <w:sz w:val="20"/>
        </w:rPr>
        <w:t xml:space="preserve"> downloads the raw data from the UCI repository, assigns the column names, treats '?' as missing and writes </w:t>
      </w:r>
      <w:r>
        <w:rPr>
          <w:i/>
          <w:sz w:val="20"/>
        </w:rPr>
        <w:t>data/heart_raw.csv</w:t>
      </w:r>
      <w:r>
        <w:rPr>
          <w:sz w:val="20"/>
        </w:rPr>
        <w:t xml:space="preserve"> and the cleaned </w:t>
      </w:r>
      <w:r>
        <w:rPr>
          <w:i/>
          <w:sz w:val="20"/>
        </w:rPr>
        <w:t>data/heart_clean.csv</w:t>
      </w:r>
      <w:r>
        <w:rPr>
          <w:sz w:val="20"/>
        </w:rPr>
        <w:t>.</w:t>
      </w:r>
    </w:p>
    <w:p>
      <w:pPr>
        <w:spacing w:before="0" w:after="120"/>
      </w:pPr>
      <w:r>
        <w:rPr>
          <w:sz w:val="20"/>
        </w:rPr>
        <w:t xml:space="preserve">The raw data contained missing values in: </w:t>
      </w:r>
      <w:r>
        <w:rPr>
          <w:i/>
          <w:sz w:val="20"/>
        </w:rPr>
        <w:t>ca</w:t>
      </w:r>
      <w:r>
        <w:rPr>
          <w:sz w:val="20"/>
        </w:rPr>
        <w:t xml:space="preserve"> (4), </w:t>
      </w:r>
      <w:r>
        <w:rPr>
          <w:i/>
          <w:sz w:val="20"/>
        </w:rPr>
        <w:t>thal</w:t>
      </w:r>
      <w:r>
        <w:rPr>
          <w:sz w:val="20"/>
        </w:rPr>
        <w:t xml:space="preserve"> (2).</w:t>
      </w:r>
    </w:p>
    <w:p>
      <w:pPr>
        <w:pStyle w:val="Heading2"/>
      </w:pPr>
      <w:r>
        <w:rPr>
          <w:b/>
        </w:rPr>
        <w:t>Missing-value handling</w:t>
      </w:r>
    </w:p>
    <w:p>
      <w:pPr>
        <w:spacing w:before="0" w:after="120"/>
      </w:pPr>
      <w:r>
        <w:rPr>
          <w:sz w:val="20"/>
        </w:rPr>
        <w:t>The raw data had missing values only in ca (4 rows) and thal (2 rows), about 2% of the 303 records. They were filled with the column median (0 for ca and 3 for thal). In both columns the median is also the most frequent value, so no invalid category code is created. Filling instead of dropping keeps all 303 records, which matters in such a small dataset, and with only 6 values affected the effect on the results is negligible. The modelling pipeline additionally imputes any remaining gaps inside each cross-validation fold.</w:t>
      </w:r>
    </w:p>
    <w:p>
      <w:pPr>
        <w:pStyle w:val="Heading2"/>
      </w:pPr>
      <w:r>
        <w:rPr>
          <w:b/>
        </w:rPr>
        <w:t>EDA findings</w:t>
      </w:r>
    </w:p>
    <w:p>
      <w:pPr>
        <w:spacing w:before="0" w:after="120"/>
      </w:pPr>
      <w:r>
        <w:rPr>
          <w:sz w:val="20"/>
        </w:rPr>
        <w:t>The target is fairly balanced (164 patients without disease and 139 with disease, 54.1% and 45.9%), so accuracy is a fair metric. Precision, recall and ROC-AUC are reported as well because missing a sick patient costs more than a false alarm. oldpeak is strongly right-skewed with many zeros and chol is mildly right-skewed with a few very high values; no impossible values were found. The features most correlated with the target are thal (0.53), ca (0.46), exang (0.43), oldpeak (0.42) and cp (0.41) positively and thalach (-0.42) negatively, while fbs (0.03) and chol (0.09) carry almost no linear signal. The disease rates by category show the same picture: 22% of patients with thal = 3 have disease against 76% with thal = 7; 26% with no coloured vessels (ca = 0) against 85% with ca = 3; 73% with asymptomatic chest pain (cp = 4) against 18% to 30% for the other types; and 77% with exercise-induced angina against 31% without. Men (55%) have a higher disease rate than women (26%), whereas fasting blood sugar makes almost no difference (45% versus 49%). Because the features are on very different scales and cp, thal, slope, restecg and ca are category codes, numeric features were standardised and the category codes were one-hot encoded.</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460375" cy="194400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2460375" cy="1944000"/>
                          </a:xfrm>
                          <a:prstGeom prst="rect"/>
                        </pic:spPr>
                      </pic:pic>
                    </a:graphicData>
                  </a:graphic>
                </wp:inline>
              </w:drawing>
            </w:r>
          </w:p>
          <w:p>
            <w:pPr>
              <w:spacing w:before="0" w:after="160"/>
              <w:jc w:val="center"/>
            </w:pPr>
            <w:r>
              <w:rPr>
                <w:i/>
                <w:color w:val="444444"/>
                <w:sz w:val="17"/>
              </w:rPr>
              <w:t>Class balance of the target.</w:t>
            </w:r>
          </w:p>
        </w:tc>
        <w:tc>
          <w:tcPr>
            <w:tcW w:type="dxa" w:w="4762"/>
          </w:tcPr>
          <w:p>
            <w:pPr>
              <w:spacing w:after="40"/>
              <w:jc w:val="center"/>
            </w:pPr>
            <w:r>
              <w:drawing>
                <wp:inline xmlns:a="http://schemas.openxmlformats.org/drawingml/2006/main" xmlns:pic="http://schemas.openxmlformats.org/drawingml/2006/picture">
                  <wp:extent cx="2844000" cy="1469902"/>
                  <wp:docPr id="3" name="Picture 3"/>
                  <wp:cNvGraphicFramePr>
                    <a:graphicFrameLocks noChangeAspect="1"/>
                  </wp:cNvGraphicFramePr>
                  <a:graphic>
                    <a:graphicData uri="http://schemas.openxmlformats.org/drawingml/2006/picture">
                      <pic:pic>
                        <pic:nvPicPr>
                          <pic:cNvPr id="0" name="numeric_histograms.png"/>
                          <pic:cNvPicPr/>
                        </pic:nvPicPr>
                        <pic:blipFill>
                          <a:blip r:embed="rId12"/>
                          <a:stretch>
                            <a:fillRect/>
                          </a:stretch>
                        </pic:blipFill>
                        <pic:spPr>
                          <a:xfrm>
                            <a:off x="0" y="0"/>
                            <a:ext cx="2844000" cy="1469902"/>
                          </a:xfrm>
                          <a:prstGeom prst="rect"/>
                        </pic:spPr>
                      </pic:pic>
                    </a:graphicData>
                  </a:graphic>
                </wp:inline>
              </w:drawing>
            </w:r>
          </w:p>
          <w:p>
            <w:pPr>
              <w:spacing w:before="0" w:after="160"/>
              <w:jc w:val="center"/>
            </w:pPr>
            <w:r>
              <w:rPr>
                <w:i/>
                <w:color w:val="444444"/>
                <w:sz w:val="17"/>
              </w:rPr>
              <w:t>Distributions of the numeric features.</w:t>
            </w:r>
          </w:p>
        </w:tc>
      </w:tr>
    </w:tbl>
    <w:p>
      <w:pPr>
        <w:spacing w:after="40"/>
      </w:pP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403532"/>
                  <wp:docPr id="4" name="Picture 4"/>
                  <wp:cNvGraphicFramePr>
                    <a:graphicFrameLocks noChangeAspect="1"/>
                  </wp:cNvGraphicFramePr>
                  <a:graphic>
                    <a:graphicData uri="http://schemas.openxmlformats.org/drawingml/2006/picture">
                      <pic:pic>
                        <pic:nvPicPr>
                          <pic:cNvPr id="0" name="numeric_by_target.png"/>
                          <pic:cNvPicPr/>
                        </pic:nvPicPr>
                        <pic:blipFill>
                          <a:blip r:embed="rId13"/>
                          <a:stretch>
                            <a:fillRect/>
                          </a:stretch>
                        </pic:blipFill>
                        <pic:spPr>
                          <a:xfrm>
                            <a:off x="0" y="0"/>
                            <a:ext cx="2844000" cy="1403532"/>
                          </a:xfrm>
                          <a:prstGeom prst="rect"/>
                        </pic:spPr>
                      </pic:pic>
                    </a:graphicData>
                  </a:graphic>
                </wp:inline>
              </w:drawing>
            </w:r>
          </w:p>
          <w:p>
            <w:pPr>
              <w:spacing w:before="0" w:after="160"/>
              <w:jc w:val="center"/>
            </w:pPr>
            <w:r>
              <w:rPr>
                <w:i/>
                <w:color w:val="444444"/>
                <w:sz w:val="17"/>
              </w:rPr>
              <w:t>Numeric features split by target.</w:t>
            </w:r>
          </w:p>
        </w:tc>
        <w:tc>
          <w:tcPr>
            <w:tcW w:type="dxa" w:w="4762"/>
          </w:tcPr>
          <w:p>
            <w:pPr>
              <w:spacing w:after="40"/>
              <w:jc w:val="center"/>
            </w:pPr>
            <w:r>
              <w:drawing>
                <wp:inline xmlns:a="http://schemas.openxmlformats.org/drawingml/2006/main" xmlns:pic="http://schemas.openxmlformats.org/drawingml/2006/picture">
                  <wp:extent cx="2178137" cy="19440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2178137" cy="1944000"/>
                          </a:xfrm>
                          <a:prstGeom prst="rect"/>
                        </pic:spPr>
                      </pic:pic>
                    </a:graphicData>
                  </a:graphic>
                </wp:inline>
              </w:drawing>
            </w:r>
          </w:p>
          <w:p>
            <w:pPr>
              <w:spacing w:before="0" w:after="160"/>
              <w:jc w:val="center"/>
            </w:pPr>
            <w:r>
              <w:rPr>
                <w:i/>
                <w:color w:val="444444"/>
                <w:sz w:val="17"/>
              </w:rPr>
              <w:t>Correlation heatmap.</w:t>
            </w:r>
          </w:p>
        </w:tc>
      </w:tr>
    </w:tbl>
    <w:p>
      <w:pPr>
        <w:spacing w:after="40"/>
      </w:pPr>
    </w:p>
    <w:tbl>
      <w:tblPr>
        <w:tblW w:type="auto" w:w="0"/>
        <w:tblLayout w:type="fixed"/>
        <w:tblLook w:firstColumn="1" w:firstRow="1" w:lastColumn="0" w:lastRow="0" w:noHBand="0" w:noVBand="1" w:val="04A0"/>
      </w:tblPr>
      <w:tblGrid>
        <w:gridCol w:w="9638"/>
      </w:tblGrid>
      <w:tr>
        <w:trPr>
          <w:cantSplit/>
        </w:trPr>
        <w:tc>
          <w:tcPr>
            <w:tcW w:type="dxa" w:w="4762"/>
          </w:tcPr>
          <w:p>
            <w:pPr>
              <w:spacing w:after="40"/>
              <w:jc w:val="center"/>
            </w:pPr>
            <w:r>
              <w:drawing>
                <wp:inline xmlns:a="http://schemas.openxmlformats.org/drawingml/2006/main" xmlns:pic="http://schemas.openxmlformats.org/drawingml/2006/picture">
                  <wp:extent cx="2844000" cy="1248430"/>
                  <wp:docPr id="6" name="Picture 6"/>
                  <wp:cNvGraphicFramePr>
                    <a:graphicFrameLocks noChangeAspect="1"/>
                  </wp:cNvGraphicFramePr>
                  <a:graphic>
                    <a:graphicData uri="http://schemas.openxmlformats.org/drawingml/2006/picture">
                      <pic:pic>
                        <pic:nvPicPr>
                          <pic:cNvPr id="0" name="categorical_vs_target.png"/>
                          <pic:cNvPicPr/>
                        </pic:nvPicPr>
                        <pic:blipFill>
                          <a:blip r:embed="rId15"/>
                          <a:stretch>
                            <a:fillRect/>
                          </a:stretch>
                        </pic:blipFill>
                        <pic:spPr>
                          <a:xfrm>
                            <a:off x="0" y="0"/>
                            <a:ext cx="2844000" cy="1248430"/>
                          </a:xfrm>
                          <a:prstGeom prst="rect"/>
                        </pic:spPr>
                      </pic:pic>
                    </a:graphicData>
                  </a:graphic>
                </wp:inline>
              </w:drawing>
            </w:r>
          </w:p>
          <w:p>
            <w:pPr>
              <w:spacing w:before="0" w:after="160"/>
              <w:jc w:val="center"/>
            </w:pPr>
            <w:r>
              <w:rPr>
                <w:i/>
                <w:color w:val="444444"/>
                <w:sz w:val="17"/>
              </w:rPr>
              <w:t>Categorical features versus the target.</w:t>
            </w:r>
          </w:p>
        </w:tc>
      </w:tr>
    </w:tbl>
    <w:p>
      <w:pPr>
        <w:spacing w:after="40"/>
      </w:pPr>
    </w:p>
    <w:p>
      <w:pPr>
        <w:keepNext/>
        <w:spacing w:after="40"/>
        <w:jc w:val="center"/>
      </w:pPr>
      <w:r>
        <w:drawing>
          <wp:inline xmlns:a="http://schemas.openxmlformats.org/drawingml/2006/main" xmlns:pic="http://schemas.openxmlformats.org/drawingml/2006/picture">
            <wp:extent cx="3558347" cy="2340000"/>
            <wp:docPr id="7" name="Picture 7"/>
            <wp:cNvGraphicFramePr>
              <a:graphicFrameLocks noChangeAspect="1"/>
            </wp:cNvGraphicFramePr>
            <a:graphic>
              <a:graphicData uri="http://schemas.openxmlformats.org/drawingml/2006/picture">
                <pic:pic>
                  <pic:nvPicPr>
                    <pic:cNvPr id="0" name="age_vs_max_heart_rate.png"/>
                    <pic:cNvPicPr/>
                  </pic:nvPicPr>
                  <pic:blipFill>
                    <a:blip r:embed="rId16"/>
                    <a:stretch>
                      <a:fillRect/>
                    </a:stretch>
                  </pic:blipFill>
                  <pic:spPr>
                    <a:xfrm>
                      <a:off x="0" y="0"/>
                      <a:ext cx="3558347" cy="2340000"/>
                    </a:xfrm>
                    <a:prstGeom prst="rect"/>
                  </pic:spPr>
                </pic:pic>
              </a:graphicData>
            </a:graphic>
          </wp:inline>
        </w:drawing>
      </w:r>
    </w:p>
    <w:p>
      <w:pPr>
        <w:spacing w:before="0" w:after="160"/>
        <w:jc w:val="center"/>
      </w:pPr>
      <w:r>
        <w:rPr>
          <w:i/>
          <w:color w:val="444444"/>
          <w:sz w:val="17"/>
        </w:rPr>
        <w:t>Age vs max heart rate (own analysis).</w:t>
      </w:r>
    </w:p>
    <w:p>
      <w:pPr>
        <w:keepNext/>
        <w:spacing w:after="40"/>
        <w:jc w:val="center"/>
      </w:pPr>
      <w:r>
        <w:drawing>
          <wp:inline xmlns:a="http://schemas.openxmlformats.org/drawingml/2006/main" xmlns:pic="http://schemas.openxmlformats.org/drawingml/2006/picture">
            <wp:extent cx="4680000" cy="1713543"/>
            <wp:docPr id="8" name="Picture 8"/>
            <wp:cNvGraphicFramePr>
              <a:graphicFrameLocks noChangeAspect="1"/>
            </wp:cNvGraphicFramePr>
            <a:graphic>
              <a:graphicData uri="http://schemas.openxmlformats.org/drawingml/2006/picture">
                <pic:pic>
                  <pic:nvPicPr>
                    <pic:cNvPr id="0" name="disease_rate_by_chest_pain_and_age.png"/>
                    <pic:cNvPicPr/>
                  </pic:nvPicPr>
                  <pic:blipFill>
                    <a:blip r:embed="rId17"/>
                    <a:stretch>
                      <a:fillRect/>
                    </a:stretch>
                  </pic:blipFill>
                  <pic:spPr>
                    <a:xfrm>
                      <a:off x="0" y="0"/>
                      <a:ext cx="4680000" cy="1713543"/>
                    </a:xfrm>
                    <a:prstGeom prst="rect"/>
                  </pic:spPr>
                </pic:pic>
              </a:graphicData>
            </a:graphic>
          </wp:inline>
        </w:drawing>
      </w:r>
    </w:p>
    <w:p>
      <w:pPr>
        <w:spacing w:before="0" w:after="160"/>
        <w:jc w:val="center"/>
      </w:pPr>
      <w:r>
        <w:rPr>
          <w:i/>
          <w:color w:val="444444"/>
          <w:sz w:val="17"/>
        </w:rPr>
        <w:t>Disease rate by chest pain and age (own analysis).</w:t>
      </w:r>
    </w:p>
    <w:p>
      <w:pPr>
        <w:pStyle w:val="Heading1"/>
      </w:pPr>
      <w:r>
        <w:rPr>
          <w:b/>
        </w:rPr>
        <w:t>5. Feature Engineering and Model Development</w:t>
      </w:r>
    </w:p>
    <w:p>
      <w:pPr>
        <w:spacing w:before="0" w:after="120"/>
      </w:pPr>
      <w:r>
        <w:rPr>
          <w:sz w:val="20"/>
        </w:rPr>
        <w:t xml:space="preserve">All preprocessing lives in one scikit-learn </w:t>
      </w:r>
      <w:r>
        <w:rPr>
          <w:i/>
          <w:sz w:val="20"/>
        </w:rPr>
        <w:t>ColumnTransformer</w:t>
      </w:r>
      <w:r>
        <w:rPr>
          <w:sz w:val="20"/>
        </w:rPr>
        <w:t xml:space="preserve"> that is part of the model pipeline, so cross-validation never leaks information and the exact same transformations are applied at serving time. Numeric features (age, resting blood pressure, cholesterol, maximum heart rate, ST depression) are median-imputed and standardised. Categorical features (chest pain type, resting ECG, slope, thalassemia, number of vessels) are imputed with the most frequent value and one-hot encoded, ignoring unseen categories. Binary features (sex, fasting blood sugar, exercise-induced angina) are passed through after imputation.</w:t>
      </w:r>
    </w:p>
    <w:p>
      <w:pPr>
        <w:spacing w:before="0" w:after="120"/>
      </w:pPr>
      <w:r>
        <w:rPr>
          <w:sz w:val="20"/>
        </w:rPr>
        <w:t>Two classifiers were trained and tuned with grid search on ROC-AUC: Logistic Regression and Random Forest. Evaluation uses a stratified 80%/20% train/test split, 5-fold stratified cross-validation, and a fixed random seed (42).</w:t>
      </w:r>
    </w:p>
    <w:p>
      <w:pPr>
        <w:pStyle w:val="Heading2"/>
      </w:pPr>
      <w:r>
        <w:rPr>
          <w:b/>
        </w:rPr>
        <w:t>Results</w:t>
      </w: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rPr>
        <w:tc>
          <w:tcPr>
            <w:tcW w:type="dxa" w:w="1474"/>
            <w:shd w:val="clear" w:color="auto" w:fill="DCE4F0"/>
          </w:tcPr>
          <w:p>
            <w:pPr>
              <w:spacing w:before="0" w:after="40"/>
            </w:pPr>
            <w:r>
              <w:rPr>
                <w:b/>
                <w:sz w:val="17"/>
              </w:rPr>
              <w:t>Model</w:t>
            </w:r>
          </w:p>
        </w:tc>
        <w:tc>
          <w:tcPr>
            <w:tcW w:type="dxa" w:w="964"/>
            <w:shd w:val="clear" w:color="auto" w:fill="DCE4F0"/>
          </w:tcPr>
          <w:p>
            <w:pPr>
              <w:spacing w:before="0" w:after="40"/>
            </w:pPr>
            <w:r>
              <w:rPr>
                <w:b/>
                <w:sz w:val="17"/>
              </w:rPr>
              <w:t>CV acc.</w:t>
            </w:r>
          </w:p>
        </w:tc>
        <w:tc>
          <w:tcPr>
            <w:tcW w:type="dxa" w:w="964"/>
            <w:shd w:val="clear" w:color="auto" w:fill="DCE4F0"/>
          </w:tcPr>
          <w:p>
            <w:pPr>
              <w:spacing w:before="0" w:after="40"/>
            </w:pPr>
            <w:r>
              <w:rPr>
                <w:b/>
                <w:sz w:val="17"/>
              </w:rPr>
              <w:t>CV prec.</w:t>
            </w:r>
          </w:p>
        </w:tc>
        <w:tc>
          <w:tcPr>
            <w:tcW w:type="dxa" w:w="964"/>
            <w:shd w:val="clear" w:color="auto" w:fill="DCE4F0"/>
          </w:tcPr>
          <w:p>
            <w:pPr>
              <w:spacing w:before="0" w:after="40"/>
            </w:pPr>
            <w:r>
              <w:rPr>
                <w:b/>
                <w:sz w:val="17"/>
              </w:rPr>
              <w:t>CV recall</w:t>
            </w:r>
          </w:p>
        </w:tc>
        <w:tc>
          <w:tcPr>
            <w:tcW w:type="dxa" w:w="964"/>
            <w:shd w:val="clear" w:color="auto" w:fill="DCE4F0"/>
          </w:tcPr>
          <w:p>
            <w:pPr>
              <w:spacing w:before="0" w:after="40"/>
            </w:pPr>
            <w:r>
              <w:rPr>
                <w:b/>
                <w:sz w:val="17"/>
              </w:rPr>
              <w:t>CV ROC-AUC</w:t>
            </w:r>
          </w:p>
        </w:tc>
        <w:tc>
          <w:tcPr>
            <w:tcW w:type="dxa" w:w="964"/>
            <w:shd w:val="clear" w:color="auto" w:fill="DCE4F0"/>
          </w:tcPr>
          <w:p>
            <w:pPr>
              <w:spacing w:before="0" w:after="40"/>
            </w:pPr>
            <w:r>
              <w:rPr>
                <w:b/>
                <w:sz w:val="17"/>
              </w:rPr>
              <w:t>Test acc.</w:t>
            </w:r>
          </w:p>
        </w:tc>
        <w:tc>
          <w:tcPr>
            <w:tcW w:type="dxa" w:w="964"/>
            <w:shd w:val="clear" w:color="auto" w:fill="DCE4F0"/>
          </w:tcPr>
          <w:p>
            <w:pPr>
              <w:spacing w:before="0" w:after="40"/>
            </w:pPr>
            <w:r>
              <w:rPr>
                <w:b/>
                <w:sz w:val="17"/>
              </w:rPr>
              <w:t>Test prec.</w:t>
            </w:r>
          </w:p>
        </w:tc>
        <w:tc>
          <w:tcPr>
            <w:tcW w:type="dxa" w:w="964"/>
            <w:shd w:val="clear" w:color="auto" w:fill="DCE4F0"/>
          </w:tcPr>
          <w:p>
            <w:pPr>
              <w:spacing w:before="0" w:after="40"/>
            </w:pPr>
            <w:r>
              <w:rPr>
                <w:b/>
                <w:sz w:val="17"/>
              </w:rPr>
              <w:t>Test recall</w:t>
            </w:r>
          </w:p>
        </w:tc>
        <w:tc>
          <w:tcPr>
            <w:tcW w:type="dxa" w:w="964"/>
            <w:shd w:val="clear" w:color="auto" w:fill="DCE4F0"/>
          </w:tcPr>
          <w:p>
            <w:pPr>
              <w:spacing w:before="0" w:after="40"/>
            </w:pPr>
            <w:r>
              <w:rPr>
                <w:b/>
                <w:sz w:val="17"/>
              </w:rPr>
              <w:t>Test ROC-AUC</w:t>
            </w:r>
          </w:p>
        </w:tc>
      </w:tr>
      <w:tr>
        <w:trPr>
          <w:cantSplit/>
        </w:trPr>
        <w:tc>
          <w:tcPr>
            <w:tcW w:type="dxa" w:w="1474"/>
          </w:tcPr>
          <w:p>
            <w:pPr>
              <w:spacing w:before="0" w:after="40"/>
            </w:pPr>
            <w:r>
              <w:rPr>
                <w:sz w:val="17"/>
              </w:rPr>
              <w:t>random_forest</w:t>
            </w:r>
          </w:p>
        </w:tc>
        <w:tc>
          <w:tcPr>
            <w:tcW w:type="dxa" w:w="964"/>
          </w:tcPr>
          <w:p>
            <w:pPr>
              <w:spacing w:before="0" w:after="40"/>
            </w:pPr>
            <w:r>
              <w:rPr>
                <w:sz w:val="17"/>
              </w:rPr>
              <w:t>0.818</w:t>
            </w:r>
          </w:p>
        </w:tc>
        <w:tc>
          <w:tcPr>
            <w:tcW w:type="dxa" w:w="964"/>
          </w:tcPr>
          <w:p>
            <w:pPr>
              <w:spacing w:before="0" w:after="40"/>
            </w:pPr>
            <w:r>
              <w:rPr>
                <w:sz w:val="17"/>
              </w:rPr>
              <w:t>0.828</w:t>
            </w:r>
          </w:p>
        </w:tc>
        <w:tc>
          <w:tcPr>
            <w:tcW w:type="dxa" w:w="964"/>
          </w:tcPr>
          <w:p>
            <w:pPr>
              <w:spacing w:before="0" w:after="40"/>
            </w:pPr>
            <w:r>
              <w:rPr>
                <w:sz w:val="17"/>
              </w:rPr>
              <w:t>0.774</w:t>
            </w:r>
          </w:p>
        </w:tc>
        <w:tc>
          <w:tcPr>
            <w:tcW w:type="dxa" w:w="964"/>
          </w:tcPr>
          <w:p>
            <w:pPr>
              <w:spacing w:before="0" w:after="40"/>
            </w:pPr>
            <w:r>
              <w:rPr>
                <w:sz w:val="17"/>
              </w:rPr>
              <w:t>0.900</w:t>
            </w:r>
          </w:p>
        </w:tc>
        <w:tc>
          <w:tcPr>
            <w:tcW w:type="dxa" w:w="964"/>
          </w:tcPr>
          <w:p>
            <w:pPr>
              <w:spacing w:before="0" w:after="40"/>
            </w:pPr>
            <w:r>
              <w:rPr>
                <w:sz w:val="17"/>
              </w:rPr>
              <w:t>0.902</w:t>
            </w:r>
          </w:p>
        </w:tc>
        <w:tc>
          <w:tcPr>
            <w:tcW w:type="dxa" w:w="964"/>
          </w:tcPr>
          <w:p>
            <w:pPr>
              <w:spacing w:before="0" w:after="40"/>
            </w:pPr>
            <w:r>
              <w:rPr>
                <w:sz w:val="17"/>
              </w:rPr>
              <w:t>0.867</w:t>
            </w:r>
          </w:p>
        </w:tc>
        <w:tc>
          <w:tcPr>
            <w:tcW w:type="dxa" w:w="964"/>
          </w:tcPr>
          <w:p>
            <w:pPr>
              <w:spacing w:before="0" w:after="40"/>
            </w:pPr>
            <w:r>
              <w:rPr>
                <w:sz w:val="17"/>
              </w:rPr>
              <w:t>0.929</w:t>
            </w:r>
          </w:p>
        </w:tc>
        <w:tc>
          <w:tcPr>
            <w:tcW w:type="dxa" w:w="964"/>
          </w:tcPr>
          <w:p>
            <w:pPr>
              <w:spacing w:before="0" w:after="40"/>
            </w:pPr>
            <w:r>
              <w:rPr>
                <w:sz w:val="17"/>
              </w:rPr>
              <w:t>0.949</w:t>
            </w:r>
          </w:p>
        </w:tc>
      </w:tr>
      <w:tr>
        <w:trPr>
          <w:cantSplit/>
        </w:trPr>
        <w:tc>
          <w:tcPr>
            <w:tcW w:type="dxa" w:w="1474"/>
            <w:shd w:val="clear" w:color="auto" w:fill="F7F9FC"/>
          </w:tcPr>
          <w:p>
            <w:pPr>
              <w:spacing w:before="0" w:after="40"/>
            </w:pPr>
            <w:r>
              <w:rPr>
                <w:sz w:val="17"/>
              </w:rPr>
              <w:t>logreg</w:t>
            </w:r>
          </w:p>
        </w:tc>
        <w:tc>
          <w:tcPr>
            <w:tcW w:type="dxa" w:w="964"/>
            <w:shd w:val="clear" w:color="auto" w:fill="F7F9FC"/>
          </w:tcPr>
          <w:p>
            <w:pPr>
              <w:spacing w:before="0" w:after="40"/>
            </w:pPr>
            <w:r>
              <w:rPr>
                <w:sz w:val="17"/>
              </w:rPr>
              <w:t>0.847</w:t>
            </w:r>
          </w:p>
        </w:tc>
        <w:tc>
          <w:tcPr>
            <w:tcW w:type="dxa" w:w="964"/>
            <w:shd w:val="clear" w:color="auto" w:fill="F7F9FC"/>
          </w:tcPr>
          <w:p>
            <w:pPr>
              <w:spacing w:before="0" w:after="40"/>
            </w:pPr>
            <w:r>
              <w:rPr>
                <w:sz w:val="17"/>
              </w:rPr>
              <w:t>0.877</w:t>
            </w:r>
          </w:p>
        </w:tc>
        <w:tc>
          <w:tcPr>
            <w:tcW w:type="dxa" w:w="964"/>
            <w:shd w:val="clear" w:color="auto" w:fill="F7F9FC"/>
          </w:tcPr>
          <w:p>
            <w:pPr>
              <w:spacing w:before="0" w:after="40"/>
            </w:pPr>
            <w:r>
              <w:rPr>
                <w:sz w:val="17"/>
              </w:rPr>
              <w:t>0.783</w:t>
            </w:r>
          </w:p>
        </w:tc>
        <w:tc>
          <w:tcPr>
            <w:tcW w:type="dxa" w:w="964"/>
            <w:shd w:val="clear" w:color="auto" w:fill="F7F9FC"/>
          </w:tcPr>
          <w:p>
            <w:pPr>
              <w:spacing w:before="0" w:after="40"/>
            </w:pPr>
            <w:r>
              <w:rPr>
                <w:sz w:val="17"/>
              </w:rPr>
              <w:t>0.904</w:t>
            </w:r>
          </w:p>
        </w:tc>
        <w:tc>
          <w:tcPr>
            <w:tcW w:type="dxa" w:w="964"/>
            <w:shd w:val="clear" w:color="auto" w:fill="F7F9FC"/>
          </w:tcPr>
          <w:p>
            <w:pPr>
              <w:spacing w:before="0" w:after="40"/>
            </w:pPr>
            <w:r>
              <w:rPr>
                <w:sz w:val="17"/>
              </w:rPr>
              <w:t>0.885</w:t>
            </w:r>
          </w:p>
        </w:tc>
        <w:tc>
          <w:tcPr>
            <w:tcW w:type="dxa" w:w="964"/>
            <w:shd w:val="clear" w:color="auto" w:fill="F7F9FC"/>
          </w:tcPr>
          <w:p>
            <w:pPr>
              <w:spacing w:before="0" w:after="40"/>
            </w:pPr>
            <w:r>
              <w:rPr>
                <w:sz w:val="17"/>
              </w:rPr>
              <w:t>0.839</w:t>
            </w:r>
          </w:p>
        </w:tc>
        <w:tc>
          <w:tcPr>
            <w:tcW w:type="dxa" w:w="964"/>
            <w:shd w:val="clear" w:color="auto" w:fill="F7F9FC"/>
          </w:tcPr>
          <w:p>
            <w:pPr>
              <w:spacing w:before="0" w:after="40"/>
            </w:pPr>
            <w:r>
              <w:rPr>
                <w:sz w:val="17"/>
              </w:rPr>
              <w:t>0.929</w:t>
            </w:r>
          </w:p>
        </w:tc>
        <w:tc>
          <w:tcPr>
            <w:tcW w:type="dxa" w:w="964"/>
            <w:shd w:val="clear" w:color="auto" w:fill="F7F9FC"/>
          </w:tcPr>
          <w:p>
            <w:pPr>
              <w:spacing w:before="0" w:after="40"/>
            </w:pPr>
            <w:r>
              <w:rPr>
                <w:sz w:val="17"/>
              </w:rPr>
              <w:t>0.968</w:t>
            </w:r>
          </w:p>
        </w:tc>
      </w:tr>
    </w:tbl>
    <w:p>
      <w:pPr>
        <w:spacing w:after="40"/>
      </w:pPr>
    </w:p>
    <w:p>
      <w:pPr>
        <w:spacing w:before="0" w:after="120"/>
      </w:pPr>
      <w:r>
        <w:rPr>
          <w:sz w:val="20"/>
        </w:rPr>
        <w:t xml:space="preserve">Best hyper-parameters (latest runs): </w:t>
      </w:r>
      <w:r>
        <w:rPr>
          <w:b/>
          <w:sz w:val="20"/>
        </w:rPr>
        <w:t>random_forest</w:t>
      </w:r>
      <w:r>
        <w:rPr>
          <w:sz w:val="20"/>
        </w:rPr>
        <w:t xml:space="preserve">: n_estimators=300, min_samples_leaf=3; </w:t>
      </w:r>
      <w:r>
        <w:rPr>
          <w:b/>
          <w:sz w:val="20"/>
        </w:rPr>
        <w:t>logreg</w:t>
      </w:r>
      <w:r>
        <w:rPr>
          <w:sz w:val="20"/>
        </w:rPr>
        <w:t>: C=1.</w:t>
      </w:r>
    </w:p>
    <w:p>
      <w:pPr>
        <w:pStyle w:val="Heading2"/>
      </w:pPr>
      <w:r>
        <w:rPr>
          <w:b/>
        </w:rPr>
        <w:t>Model selection</w:t>
      </w:r>
    </w:p>
    <w:p>
      <w:pPr>
        <w:spacing w:before="0" w:after="120"/>
      </w:pPr>
      <w:r>
        <w:rPr>
          <w:sz w:val="20"/>
        </w:rPr>
        <w:t xml:space="preserve">The packaged final model is </w:t>
      </w:r>
      <w:r>
        <w:rPr>
          <w:b/>
          <w:sz w:val="20"/>
        </w:rPr>
        <w:t>logreg</w:t>
      </w:r>
      <w:r>
        <w:rPr>
          <w:sz w:val="20"/>
        </w:rPr>
        <w:t>.</w:t>
      </w:r>
    </w:p>
    <w:p>
      <w:pPr>
        <w:spacing w:before="0" w:after="120"/>
      </w:pPr>
      <w:r>
        <w:rPr>
          <w:sz w:val="20"/>
        </w:rPr>
        <w:t>Logistic Regression was selected as the final model. In cross-validation on the training split it matched or slightly beat Random Forest on every metric (ROC-AUC 0.904 vs 0.900, recall 0.783 vs 0.774), so the two are effectively tied, and the simpler model is faster, easier to explain and less prone to overfitting on about 300 rows. The hold-out test set holds only about 61 patients, so one patient changes a score by roughly 1.6 points; the test scores (ROC-AUC 0.968 vs 0.949) are too noisy to overturn the cross-validation result. For a screening use case recall matters most: at the default 0.5 threshold roughly one in five sick patients is missed in cross-validation, and lowering the decision threshold would trade precision for recall.</w:t>
      </w:r>
    </w:p>
    <w:p>
      <w:pPr>
        <w:spacing w:before="0" w:after="120"/>
      </w:pPr>
      <w:r>
        <w:rPr>
          <w:sz w:val="20"/>
        </w:rPr>
        <w:t>Both models were tuned with grid search on ROC-AUC, using 5-fold stratified cross-validation on the training split only: Logistic Regression over the regularisation strength C, and Random Forest over the number of trees, the maximum depth and the minimum samples per leaf. The hold-out set was kept untouched so that it gives an unbiased final check. For Logistic Regression the best and worst settings differed by 0.018 ROC-AUC (C = 1 gave 0.904 and C = 0.01 gave 0.886), so very strong regularisation hurt slightly while C from 0.1 to 10 gave almost the same result. For Random Forest all 12 settings fell within 0.008 ROC-AUC (0.892 to 0.900), so the model was insensitive to these hyper-parameters.</w:t>
      </w:r>
    </w:p>
    <w:p>
      <w:pPr>
        <w:pStyle w:val="Heading1"/>
      </w:pPr>
      <w:r>
        <w:rPr>
          <w:b/>
        </w:rPr>
        <w:t>6. Experiment Tracking with MLflow</w:t>
      </w:r>
    </w:p>
    <w:p>
      <w:pPr>
        <w:spacing w:before="0" w:after="120"/>
      </w:pPr>
      <w:r>
        <w:rPr>
          <w:sz w:val="20"/>
        </w:rPr>
        <w:t xml:space="preserve">Every training run logs its parameters (model type, seed, folds, tuned hyper-parameters), cross-validation and hold-out metrics, the ROC curve and confusion matrix as plots, and the fitted pipeline with an input example and signature. Each hyper-parameter combination of the grid search is a nested child run, and the final model is tagged and registered in the MLflow model registry. The tracking database holds 8 training runs and 64 nested grid-search runs in the experiment </w:t>
      </w:r>
      <w:r>
        <w:rPr>
          <w:i/>
          <w:sz w:val="20"/>
        </w:rPr>
        <w:t>heart-disease-classification</w:t>
      </w:r>
      <w:r>
        <w:rPr>
          <w:sz w:val="20"/>
        </w:rPr>
        <w:t>.</w:t>
      </w:r>
    </w:p>
    <w:p>
      <w:pPr>
        <w:spacing w:before="0" w:after="120"/>
      </w:pPr>
      <w:r>
        <w:rPr>
          <w:sz w:val="20"/>
        </w:rPr>
        <w:t>Runs were compared in the MLflow UI by cross-validation ROC-AUC and recall, and the nested grid-search runs show how performance changed with each hyper-parameter setting. Training was run in four separate sessions between 4 and 18 October with the same fixed seed (42) and produced identical cross-validation and hold-out metrics every time (for example a cross-validation ROC-AUC of 0.904 for Logistic Regression and 0.900 for Random Forest), which confirms that the pipeline is reproducible. In the compare view the two models are within 0.004 ROC-AUC of each other in cross-validation; Random Forest has the higher hold-out accuracy (0.902 versus 0.885) but the lower hold-out ROC-AUC (0.949 versus 0.968), a mixed picture that is consistent with the small hold-out set.</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134000"/>
                  <wp:docPr id="9" name="Picture 9"/>
                  <wp:cNvGraphicFramePr>
                    <a:graphicFrameLocks noChangeAspect="1"/>
                  </wp:cNvGraphicFramePr>
                  <a:graphic>
                    <a:graphicData uri="http://schemas.openxmlformats.org/drawingml/2006/picture">
                      <pic:pic>
                        <pic:nvPicPr>
                          <pic:cNvPr id="0" name="mlflow_runs.png"/>
                          <pic:cNvPicPr/>
                        </pic:nvPicPr>
                        <pic:blipFill>
                          <a:blip r:embed="rId18"/>
                          <a:stretch>
                            <a:fillRect/>
                          </a:stretch>
                        </pic:blipFill>
                        <pic:spPr>
                          <a:xfrm>
                            <a:off x="0" y="0"/>
                            <a:ext cx="2844000" cy="1134000"/>
                          </a:xfrm>
                          <a:prstGeom prst="rect"/>
                        </pic:spPr>
                      </pic:pic>
                    </a:graphicData>
                  </a:graphic>
                </wp:inline>
              </w:drawing>
            </w:r>
          </w:p>
          <w:p>
            <w:pPr>
              <w:spacing w:before="0" w:after="160"/>
              <w:jc w:val="center"/>
            </w:pPr>
            <w:r>
              <w:rPr>
                <w:i/>
                <w:color w:val="444444"/>
                <w:sz w:val="17"/>
              </w:rPr>
              <w:t>MLflow experiment page listing the tracked runs.</w:t>
            </w:r>
          </w:p>
        </w:tc>
        <w:tc>
          <w:tcPr>
            <w:tcW w:type="dxa" w:w="4762"/>
          </w:tcPr>
          <w:p>
            <w:pPr>
              <w:spacing w:after="40"/>
              <w:jc w:val="center"/>
            </w:pPr>
            <w:r>
              <w:drawing>
                <wp:inline xmlns:a="http://schemas.openxmlformats.org/drawingml/2006/main" xmlns:pic="http://schemas.openxmlformats.org/drawingml/2006/picture">
                  <wp:extent cx="2844000" cy="1530141"/>
                  <wp:docPr id="10" name="Picture 10"/>
                  <wp:cNvGraphicFramePr>
                    <a:graphicFrameLocks noChangeAspect="1"/>
                  </wp:cNvGraphicFramePr>
                  <a:graphic>
                    <a:graphicData uri="http://schemas.openxmlformats.org/drawingml/2006/picture">
                      <pic:pic>
                        <pic:nvPicPr>
                          <pic:cNvPr id="0" name="mlflow_compare.png"/>
                          <pic:cNvPicPr/>
                        </pic:nvPicPr>
                        <pic:blipFill>
                          <a:blip r:embed="rId19"/>
                          <a:stretch>
                            <a:fillRect/>
                          </a:stretch>
                        </pic:blipFill>
                        <pic:spPr>
                          <a:xfrm>
                            <a:off x="0" y="0"/>
                            <a:ext cx="2844000" cy="1530141"/>
                          </a:xfrm>
                          <a:prstGeom prst="rect"/>
                        </pic:spPr>
                      </pic:pic>
                    </a:graphicData>
                  </a:graphic>
                </wp:inline>
              </w:drawing>
            </w:r>
          </w:p>
          <w:p>
            <w:pPr>
              <w:spacing w:before="0" w:after="160"/>
              <w:jc w:val="center"/>
            </w:pPr>
            <w:r>
              <w:rPr>
                <w:i/>
                <w:color w:val="444444"/>
                <w:sz w:val="17"/>
              </w:rPr>
              <w:t>MLflow comparison of runs (parameters and metrics side by side).</w:t>
            </w:r>
          </w:p>
        </w:tc>
      </w:tr>
    </w:tbl>
    <w:p>
      <w:pPr>
        <w:spacing w:after="40"/>
      </w:pPr>
    </w:p>
    <w:tbl>
      <w:tblPr>
        <w:tblW w:type="auto" w:w="0"/>
        <w:tblLayout w:type="fixed"/>
        <w:tblLook w:firstColumn="1" w:firstRow="1" w:lastColumn="0" w:lastRow="0" w:noHBand="0" w:noVBand="1" w:val="04A0"/>
      </w:tblPr>
      <w:tblGrid>
        <w:gridCol w:w="9638"/>
      </w:tblGrid>
      <w:tr>
        <w:trPr>
          <w:cantSplit/>
        </w:trPr>
        <w:tc>
          <w:tcPr>
            <w:tcW w:type="dxa" w:w="4762"/>
          </w:tcPr>
          <w:p>
            <w:pPr>
              <w:spacing w:after="40"/>
              <w:jc w:val="center"/>
            </w:pPr>
            <w:r>
              <w:drawing>
                <wp:inline xmlns:a="http://schemas.openxmlformats.org/drawingml/2006/main" xmlns:pic="http://schemas.openxmlformats.org/drawingml/2006/picture">
                  <wp:extent cx="2844000" cy="1760189"/>
                  <wp:docPr id="11" name="Picture 11"/>
                  <wp:cNvGraphicFramePr>
                    <a:graphicFrameLocks noChangeAspect="1"/>
                  </wp:cNvGraphicFramePr>
                  <a:graphic>
                    <a:graphicData uri="http://schemas.openxmlformats.org/drawingml/2006/picture">
                      <pic:pic>
                        <pic:nvPicPr>
                          <pic:cNvPr id="0" name="mlflow_run_detail.png"/>
                          <pic:cNvPicPr/>
                        </pic:nvPicPr>
                        <pic:blipFill>
                          <a:blip r:embed="rId20"/>
                          <a:stretch>
                            <a:fillRect/>
                          </a:stretch>
                        </pic:blipFill>
                        <pic:spPr>
                          <a:xfrm>
                            <a:off x="0" y="0"/>
                            <a:ext cx="2844000" cy="1760189"/>
                          </a:xfrm>
                          <a:prstGeom prst="rect"/>
                        </pic:spPr>
                      </pic:pic>
                    </a:graphicData>
                  </a:graphic>
                </wp:inline>
              </w:drawing>
            </w:r>
          </w:p>
          <w:p>
            <w:pPr>
              <w:spacing w:before="0" w:after="160"/>
              <w:jc w:val="center"/>
            </w:pPr>
            <w:r>
              <w:rPr>
                <w:i/>
                <w:color w:val="444444"/>
                <w:sz w:val="17"/>
              </w:rPr>
              <w:t>A single MLflow run: parameters, metrics and logged artifacts (ROC curve, confusion matrix, model).</w:t>
            </w:r>
          </w:p>
        </w:tc>
      </w:tr>
    </w:tbl>
    <w:p>
      <w:pPr>
        <w:spacing w:after="40"/>
      </w:pPr>
    </w:p>
    <w:p>
      <w:pPr>
        <w:pStyle w:val="Heading1"/>
      </w:pPr>
      <w:r>
        <w:rPr>
          <w:b/>
        </w:rPr>
        <w:t>7. Model Packaging and Reproducibility</w:t>
      </w:r>
    </w:p>
    <w:p>
      <w:pPr>
        <w:spacing w:before="0" w:after="120"/>
      </w:pPr>
      <w:r>
        <w:rPr>
          <w:sz w:val="20"/>
        </w:rPr>
        <w:t xml:space="preserve">The final pipeline (preprocessing plus model) is saved with joblib as </w:t>
      </w:r>
      <w:r>
        <w:rPr>
          <w:i/>
          <w:sz w:val="20"/>
        </w:rPr>
        <w:t>models/final_model.joblib</w:t>
      </w:r>
      <w:r>
        <w:rPr>
          <w:sz w:val="20"/>
        </w:rPr>
        <w:t xml:space="preserve">, next to </w:t>
      </w:r>
      <w:r>
        <w:rPr>
          <w:i/>
          <w:sz w:val="20"/>
        </w:rPr>
        <w:t>models/model_metadata.json</w:t>
      </w:r>
      <w:r>
        <w:rPr>
          <w:sz w:val="20"/>
        </w:rPr>
        <w:t xml:space="preserve">, which records the model name, MLflow run id, hyper-parameters, feature list, metrics and library versions. The same model is also stored as an MLflow model. Dependencies are pinned in </w:t>
      </w:r>
      <w:r>
        <w:rPr>
          <w:i/>
          <w:sz w:val="20"/>
        </w:rPr>
        <w:t>requirements.txt</w:t>
      </w:r>
      <w:r>
        <w:rPr>
          <w:sz w:val="20"/>
        </w:rPr>
        <w:t xml:space="preserve"> (full project) and </w:t>
      </w:r>
      <w:r>
        <w:rPr>
          <w:i/>
          <w:sz w:val="20"/>
        </w:rPr>
        <w:t>requirements-api.txt</w:t>
      </w:r>
      <w:r>
        <w:rPr>
          <w:sz w:val="20"/>
        </w:rPr>
        <w:t xml:space="preserve"> (serving image only).</w:t>
      </w:r>
    </w:p>
    <w:p>
      <w:pPr>
        <w:spacing w:before="0" w:after="120"/>
      </w:pPr>
      <w:r>
        <w:rPr>
          <w:sz w:val="20"/>
        </w:rPr>
        <w:t>Versions recorded at training time: python 3.11.9, scikit-learn 1.9.1, mlflow 3.16.1.</w:t>
      </w:r>
    </w:p>
    <w:p>
      <w:pPr>
        <w:spacing w:before="0" w:after="120"/>
      </w:pPr>
      <w:r>
        <w:rPr>
          <w:sz w:val="20"/>
        </w:rPr>
        <w:t>To confirm that a clean setup works, I cloned the repository into a new folder, created a fresh Python 3.11 virtual environment, installed requirements.txt and requirements-dev.txt, and ran python -m pytest: all 29 tests passed. The GitHub Actions pipeline repeats the same steps from scratch on every push using Python 3.11 and passed, which is an independent check of the requirements file.</w:t>
      </w:r>
    </w:p>
    <w:p>
      <w:pPr>
        <w:pStyle w:val="Heading1"/>
      </w:pPr>
      <w:r>
        <w:rPr>
          <w:b/>
        </w:rPr>
        <w:t>8. CI/CD Pipeline and Automated Testing</w:t>
      </w:r>
    </w:p>
    <w:p>
      <w:pPr>
        <w:spacing w:before="0" w:after="120"/>
      </w:pPr>
      <w:r>
        <w:rPr>
          <w:sz w:val="20"/>
        </w:rPr>
        <w:t>The test suite contains 29 pytest tests covering data cleaning, the preprocessing pipeline, model training helpers, the prediction function and the API (valid requests, missing fields, out-of-range values, wrong types and metrics). The GitHub Actions workflow (</w:t>
      </w:r>
      <w:r>
        <w:rPr>
          <w:i/>
          <w:sz w:val="20"/>
        </w:rPr>
        <w:t>.github/workflows/ci.yml</w:t>
      </w:r>
      <w:r>
        <w:rPr>
          <w:sz w:val="20"/>
        </w:rPr>
        <w:t>) runs on every push and pull request:</w:t>
      </w: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4819"/>
        <w:gridCol w:w="4819"/>
      </w:tblGrid>
      <w:tr>
        <w:trPr>
          <w:cantSplit/>
        </w:trPr>
        <w:tc>
          <w:tcPr>
            <w:tcW w:type="dxa" w:w="2381"/>
            <w:shd w:val="clear" w:color="auto" w:fill="DCE4F0"/>
          </w:tcPr>
          <w:p>
            <w:pPr>
              <w:spacing w:before="0" w:after="40"/>
            </w:pPr>
            <w:r>
              <w:rPr>
                <w:b/>
                <w:sz w:val="17"/>
              </w:rPr>
              <w:t>Step</w:t>
            </w:r>
          </w:p>
        </w:tc>
        <w:tc>
          <w:tcPr>
            <w:tcW w:type="dxa" w:w="6690"/>
            <w:shd w:val="clear" w:color="auto" w:fill="DCE4F0"/>
          </w:tcPr>
          <w:p>
            <w:pPr>
              <w:spacing w:before="0" w:after="40"/>
            </w:pPr>
            <w:r>
              <w:rPr>
                <w:b/>
                <w:sz w:val="17"/>
              </w:rPr>
              <w:t>Purpose</w:t>
            </w:r>
          </w:p>
        </w:tc>
      </w:tr>
      <w:tr>
        <w:trPr>
          <w:cantSplit/>
        </w:trPr>
        <w:tc>
          <w:tcPr>
            <w:tcW w:type="dxa" w:w="2381"/>
          </w:tcPr>
          <w:p>
            <w:pPr>
              <w:spacing w:before="0" w:after="40"/>
            </w:pPr>
            <w:r>
              <w:rPr>
                <w:sz w:val="17"/>
              </w:rPr>
              <w:t>Install dependencies</w:t>
            </w:r>
          </w:p>
        </w:tc>
        <w:tc>
          <w:tcPr>
            <w:tcW w:type="dxa" w:w="6690"/>
          </w:tcPr>
          <w:p>
            <w:pPr>
              <w:spacing w:before="0" w:after="40"/>
            </w:pPr>
            <w:r>
              <w:rPr>
                <w:sz w:val="17"/>
              </w:rPr>
              <w:t>Clean environment from the requirements files</w:t>
            </w:r>
          </w:p>
        </w:tc>
      </w:tr>
      <w:tr>
        <w:trPr>
          <w:cantSplit/>
        </w:trPr>
        <w:tc>
          <w:tcPr>
            <w:tcW w:type="dxa" w:w="2381"/>
            <w:shd w:val="clear" w:color="auto" w:fill="F7F9FC"/>
          </w:tcPr>
          <w:p>
            <w:pPr>
              <w:spacing w:before="0" w:after="40"/>
            </w:pPr>
            <w:r>
              <w:rPr>
                <w:sz w:val="17"/>
              </w:rPr>
              <w:t>flake8</w:t>
            </w:r>
          </w:p>
        </w:tc>
        <w:tc>
          <w:tcPr>
            <w:tcW w:type="dxa" w:w="6690"/>
            <w:shd w:val="clear" w:color="auto" w:fill="F7F9FC"/>
          </w:tcPr>
          <w:p>
            <w:pPr>
              <w:spacing w:before="0" w:after="40"/>
            </w:pPr>
            <w:r>
              <w:rPr>
                <w:sz w:val="17"/>
              </w:rPr>
              <w:t>Linting of src, api and tests</w:t>
            </w:r>
          </w:p>
        </w:tc>
      </w:tr>
      <w:tr>
        <w:trPr>
          <w:cantSplit/>
        </w:trPr>
        <w:tc>
          <w:tcPr>
            <w:tcW w:type="dxa" w:w="2381"/>
          </w:tcPr>
          <w:p>
            <w:pPr>
              <w:spacing w:before="0" w:after="40"/>
            </w:pPr>
            <w:r>
              <w:rPr>
                <w:sz w:val="17"/>
              </w:rPr>
              <w:t>pytest</w:t>
            </w:r>
          </w:p>
        </w:tc>
        <w:tc>
          <w:tcPr>
            <w:tcW w:type="dxa" w:w="6690"/>
          </w:tcPr>
          <w:p>
            <w:pPr>
              <w:spacing w:before="0" w:after="40"/>
            </w:pPr>
            <w:r>
              <w:rPr>
                <w:sz w:val="17"/>
              </w:rPr>
              <w:t>Unit tests; JUnit report uploaded as an artifact</w:t>
            </w:r>
          </w:p>
        </w:tc>
      </w:tr>
      <w:tr>
        <w:trPr>
          <w:cantSplit/>
        </w:trPr>
        <w:tc>
          <w:tcPr>
            <w:tcW w:type="dxa" w:w="2381"/>
            <w:shd w:val="clear" w:color="auto" w:fill="F7F9FC"/>
          </w:tcPr>
          <w:p>
            <w:pPr>
              <w:spacing w:before="0" w:after="40"/>
            </w:pPr>
            <w:r>
              <w:rPr>
                <w:sz w:val="17"/>
              </w:rPr>
              <w:t>Train model</w:t>
            </w:r>
          </w:p>
        </w:tc>
        <w:tc>
          <w:tcPr>
            <w:tcW w:type="dxa" w:w="6690"/>
            <w:shd w:val="clear" w:color="auto" w:fill="F7F9FC"/>
          </w:tcPr>
          <w:p>
            <w:pPr>
              <w:spacing w:before="0" w:after="40"/>
            </w:pPr>
            <w:r>
              <w:rPr>
                <w:sz w:val="17"/>
              </w:rPr>
              <w:t>Runs the training script; model and MLflow data uploaded as artifacts</w:t>
            </w:r>
          </w:p>
        </w:tc>
      </w:tr>
      <w:tr>
        <w:trPr>
          <w:cantSplit/>
        </w:trPr>
        <w:tc>
          <w:tcPr>
            <w:tcW w:type="dxa" w:w="2381"/>
          </w:tcPr>
          <w:p>
            <w:pPr>
              <w:spacing w:before="0" w:after="40"/>
            </w:pPr>
            <w:r>
              <w:rPr>
                <w:sz w:val="17"/>
              </w:rPr>
              <w:t>Docker build</w:t>
            </w:r>
          </w:p>
        </w:tc>
        <w:tc>
          <w:tcPr>
            <w:tcW w:type="dxa" w:w="6690"/>
          </w:tcPr>
          <w:p>
            <w:pPr>
              <w:spacing w:before="0" w:after="40"/>
            </w:pPr>
            <w:r>
              <w:rPr>
                <w:sz w:val="17"/>
              </w:rPr>
              <w:t>Builds the serving image</w:t>
            </w:r>
          </w:p>
        </w:tc>
      </w:tr>
      <w:tr>
        <w:trPr>
          <w:cantSplit/>
        </w:trPr>
        <w:tc>
          <w:tcPr>
            <w:tcW w:type="dxa" w:w="2381"/>
            <w:shd w:val="clear" w:color="auto" w:fill="F7F9FC"/>
          </w:tcPr>
          <w:p>
            <w:pPr>
              <w:spacing w:before="0" w:after="40"/>
            </w:pPr>
            <w:r>
              <w:rPr>
                <w:sz w:val="17"/>
              </w:rPr>
              <w:t>Container smoke test</w:t>
            </w:r>
          </w:p>
        </w:tc>
        <w:tc>
          <w:tcPr>
            <w:tcW w:type="dxa" w:w="6690"/>
            <w:shd w:val="clear" w:color="auto" w:fill="F7F9FC"/>
          </w:tcPr>
          <w:p>
            <w:pPr>
              <w:spacing w:before="0" w:after="40"/>
            </w:pPr>
            <w:r>
              <w:rPr>
                <w:sz w:val="17"/>
              </w:rPr>
              <w:t>Starts the container, checks /health and /predict</w:t>
            </w:r>
          </w:p>
        </w:tc>
      </w:tr>
    </w:tbl>
    <w:p>
      <w:pPr>
        <w:spacing w:after="40"/>
      </w:pPr>
    </w:p>
    <w:p>
      <w:pPr>
        <w:spacing w:before="0" w:after="120"/>
      </w:pPr>
      <w:r>
        <w:rPr>
          <w:sz w:val="20"/>
        </w:rPr>
        <w:t>The pipeline fails on lint, test or build errors and prints clear logs, demonstrated below with a deliberately failing test.</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212052"/>
                  <wp:docPr id="12" name="Picture 12"/>
                  <wp:cNvGraphicFramePr>
                    <a:graphicFrameLocks noChangeAspect="1"/>
                  </wp:cNvGraphicFramePr>
                  <a:graphic>
                    <a:graphicData uri="http://schemas.openxmlformats.org/drawingml/2006/picture">
                      <pic:pic>
                        <pic:nvPicPr>
                          <pic:cNvPr id="0" name="ci_green.png"/>
                          <pic:cNvPicPr/>
                        </pic:nvPicPr>
                        <pic:blipFill>
                          <a:blip r:embed="rId21"/>
                          <a:stretch>
                            <a:fillRect/>
                          </a:stretch>
                        </pic:blipFill>
                        <pic:spPr>
                          <a:xfrm>
                            <a:off x="0" y="0"/>
                            <a:ext cx="2844000" cy="1212052"/>
                          </a:xfrm>
                          <a:prstGeom prst="rect"/>
                        </pic:spPr>
                      </pic:pic>
                    </a:graphicData>
                  </a:graphic>
                </wp:inline>
              </w:drawing>
            </w:r>
          </w:p>
          <w:p>
            <w:pPr>
              <w:spacing w:before="0" w:after="160"/>
              <w:jc w:val="center"/>
            </w:pPr>
            <w:r>
              <w:rPr>
                <w:i/>
                <w:color w:val="444444"/>
                <w:sz w:val="17"/>
              </w:rPr>
              <w:t>GitHub Actions run with every step passing (lint, tests, training, Docker build, container smoke test).</w:t>
            </w:r>
          </w:p>
        </w:tc>
        <w:tc>
          <w:tcPr>
            <w:tcW w:type="dxa" w:w="4762"/>
          </w:tcPr>
          <w:p>
            <w:pPr>
              <w:spacing w:after="40"/>
              <w:jc w:val="center"/>
            </w:pPr>
            <w:r>
              <w:drawing>
                <wp:inline xmlns:a="http://schemas.openxmlformats.org/drawingml/2006/main" xmlns:pic="http://schemas.openxmlformats.org/drawingml/2006/picture">
                  <wp:extent cx="2844000" cy="1497913"/>
                  <wp:docPr id="13" name="Picture 13"/>
                  <wp:cNvGraphicFramePr>
                    <a:graphicFrameLocks noChangeAspect="1"/>
                  </wp:cNvGraphicFramePr>
                  <a:graphic>
                    <a:graphicData uri="http://schemas.openxmlformats.org/drawingml/2006/picture">
                      <pic:pic>
                        <pic:nvPicPr>
                          <pic:cNvPr id="0" name="ci_artifacts.png"/>
                          <pic:cNvPicPr/>
                        </pic:nvPicPr>
                        <pic:blipFill>
                          <a:blip r:embed="rId22"/>
                          <a:stretch>
                            <a:fillRect/>
                          </a:stretch>
                        </pic:blipFill>
                        <pic:spPr>
                          <a:xfrm>
                            <a:off x="0" y="0"/>
                            <a:ext cx="2844000" cy="1497913"/>
                          </a:xfrm>
                          <a:prstGeom prst="rect"/>
                        </pic:spPr>
                      </pic:pic>
                    </a:graphicData>
                  </a:graphic>
                </wp:inline>
              </w:drawing>
            </w:r>
          </w:p>
          <w:p>
            <w:pPr>
              <w:spacing w:before="0" w:after="160"/>
              <w:jc w:val="center"/>
            </w:pPr>
            <w:r>
              <w:rPr>
                <w:i/>
                <w:color w:val="444444"/>
                <w:sz w:val="17"/>
              </w:rPr>
              <w:t>Artifacts produced by the workflow run.</w:t>
            </w:r>
          </w:p>
        </w:tc>
      </w:tr>
    </w:tbl>
    <w:p>
      <w:pPr>
        <w:spacing w:after="40"/>
      </w:pPr>
    </w:p>
    <w:tbl>
      <w:tblPr>
        <w:tblW w:type="auto" w:w="0"/>
        <w:tblLayout w:type="fixed"/>
        <w:tblLook w:firstColumn="1" w:firstRow="1" w:lastColumn="0" w:lastRow="0" w:noHBand="0" w:noVBand="1" w:val="04A0"/>
      </w:tblPr>
      <w:tblGrid>
        <w:gridCol w:w="9638"/>
      </w:tblGrid>
      <w:tr>
        <w:trPr>
          <w:cantSplit/>
        </w:trPr>
        <w:tc>
          <w:tcPr>
            <w:tcW w:type="dxa" w:w="4762"/>
          </w:tcPr>
          <w:p>
            <w:pPr>
              <w:spacing w:after="40"/>
              <w:jc w:val="center"/>
            </w:pPr>
            <w:r>
              <w:drawing>
                <wp:inline xmlns:a="http://schemas.openxmlformats.org/drawingml/2006/main" xmlns:pic="http://schemas.openxmlformats.org/drawingml/2006/picture">
                  <wp:extent cx="2844000" cy="1365780"/>
                  <wp:docPr id="14" name="Picture 14"/>
                  <wp:cNvGraphicFramePr>
                    <a:graphicFrameLocks noChangeAspect="1"/>
                  </wp:cNvGraphicFramePr>
                  <a:graphic>
                    <a:graphicData uri="http://schemas.openxmlformats.org/drawingml/2006/picture">
                      <pic:pic>
                        <pic:nvPicPr>
                          <pic:cNvPr id="0" name="ci_red.png"/>
                          <pic:cNvPicPr/>
                        </pic:nvPicPr>
                        <pic:blipFill>
                          <a:blip r:embed="rId23"/>
                          <a:stretch>
                            <a:fillRect/>
                          </a:stretch>
                        </pic:blipFill>
                        <pic:spPr>
                          <a:xfrm>
                            <a:off x="0" y="0"/>
                            <a:ext cx="2844000" cy="1365780"/>
                          </a:xfrm>
                          <a:prstGeom prst="rect"/>
                        </pic:spPr>
                      </pic:pic>
                    </a:graphicData>
                  </a:graphic>
                </wp:inline>
              </w:drawing>
            </w:r>
          </w:p>
          <w:p>
            <w:pPr>
              <w:spacing w:before="0" w:after="160"/>
              <w:jc w:val="center"/>
            </w:pPr>
            <w:r>
              <w:rPr>
                <w:i/>
                <w:color w:val="444444"/>
                <w:sz w:val="17"/>
              </w:rPr>
              <w:t>Deliberately failing run: the pipeline stops on a failing test and shows a clear error log.</w:t>
            </w:r>
          </w:p>
        </w:tc>
      </w:tr>
    </w:tbl>
    <w:p>
      <w:pPr>
        <w:spacing w:after="40"/>
      </w:pPr>
    </w:p>
    <w:p>
      <w:pPr>
        <w:pStyle w:val="Heading1"/>
      </w:pPr>
      <w:r>
        <w:rPr>
          <w:b/>
        </w:rPr>
        <w:t>9. Model Containerisation and API</w:t>
      </w:r>
    </w:p>
    <w:p>
      <w:pPr>
        <w:spacing w:before="0" w:after="120"/>
      </w:pPr>
      <w:r>
        <w:rPr>
          <w:sz w:val="20"/>
        </w:rPr>
        <w:t>The model is served by a FastAPI application. Inputs are validated with allowed ranges, so invalid requests are rejected with HTTP 422. The image is based on python:3.11-slim, contains only the serving dependencies, runs as a non-root user and has a health check. Request logs record method, path, status and latency, and the prediction outcome, but never the patient's health data.</w:t>
      </w: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4819"/>
        <w:gridCol w:w="4819"/>
      </w:tblGrid>
      <w:tr>
        <w:trPr>
          <w:cantSplit/>
        </w:trPr>
        <w:tc>
          <w:tcPr>
            <w:tcW w:type="dxa" w:w="2268"/>
            <w:shd w:val="clear" w:color="auto" w:fill="DCE4F0"/>
          </w:tcPr>
          <w:p>
            <w:pPr>
              <w:spacing w:before="0" w:after="40"/>
            </w:pPr>
            <w:r>
              <w:rPr>
                <w:b/>
                <w:sz w:val="17"/>
              </w:rPr>
              <w:t>Endpoint</w:t>
            </w:r>
          </w:p>
        </w:tc>
        <w:tc>
          <w:tcPr>
            <w:tcW w:type="dxa" w:w="6803"/>
            <w:shd w:val="clear" w:color="auto" w:fill="DCE4F0"/>
          </w:tcPr>
          <w:p>
            <w:pPr>
              <w:spacing w:before="0" w:after="40"/>
            </w:pPr>
            <w:r>
              <w:rPr>
                <w:b/>
                <w:sz w:val="17"/>
              </w:rPr>
              <w:t>Description</w:t>
            </w:r>
          </w:p>
        </w:tc>
      </w:tr>
      <w:tr>
        <w:trPr>
          <w:cantSplit/>
        </w:trPr>
        <w:tc>
          <w:tcPr>
            <w:tcW w:type="dxa" w:w="2268"/>
          </w:tcPr>
          <w:p>
            <w:pPr>
              <w:spacing w:before="0" w:after="40"/>
            </w:pPr>
            <w:r>
              <w:rPr>
                <w:sz w:val="17"/>
              </w:rPr>
              <w:t>POST /predict</w:t>
            </w:r>
          </w:p>
        </w:tc>
        <w:tc>
          <w:tcPr>
            <w:tcW w:type="dxa" w:w="6803"/>
          </w:tcPr>
          <w:p>
            <w:pPr>
              <w:spacing w:before="0" w:after="40"/>
            </w:pPr>
            <w:r>
              <w:rPr>
                <w:sz w:val="17"/>
              </w:rPr>
              <w:t>JSON patient record in; prediction, label, confidence and risk probability out</w:t>
            </w:r>
          </w:p>
        </w:tc>
      </w:tr>
      <w:tr>
        <w:trPr>
          <w:cantSplit/>
        </w:trPr>
        <w:tc>
          <w:tcPr>
            <w:tcW w:type="dxa" w:w="2268"/>
            <w:shd w:val="clear" w:color="auto" w:fill="F7F9FC"/>
          </w:tcPr>
          <w:p>
            <w:pPr>
              <w:spacing w:before="0" w:after="40"/>
            </w:pPr>
            <w:r>
              <w:rPr>
                <w:sz w:val="17"/>
              </w:rPr>
              <w:t>GET /health</w:t>
            </w:r>
          </w:p>
        </w:tc>
        <w:tc>
          <w:tcPr>
            <w:tcW w:type="dxa" w:w="6803"/>
            <w:shd w:val="clear" w:color="auto" w:fill="F7F9FC"/>
          </w:tcPr>
          <w:p>
            <w:pPr>
              <w:spacing w:before="0" w:after="40"/>
            </w:pPr>
            <w:r>
              <w:rPr>
                <w:sz w:val="17"/>
              </w:rPr>
              <w:t>Readiness/liveness; confirms the model is loaded</w:t>
            </w:r>
          </w:p>
        </w:tc>
      </w:tr>
      <w:tr>
        <w:trPr>
          <w:cantSplit/>
        </w:trPr>
        <w:tc>
          <w:tcPr>
            <w:tcW w:type="dxa" w:w="2268"/>
          </w:tcPr>
          <w:p>
            <w:pPr>
              <w:spacing w:before="0" w:after="40"/>
            </w:pPr>
            <w:r>
              <w:rPr>
                <w:sz w:val="17"/>
              </w:rPr>
              <w:t>GET /metrics</w:t>
            </w:r>
          </w:p>
        </w:tc>
        <w:tc>
          <w:tcPr>
            <w:tcW w:type="dxa" w:w="6803"/>
          </w:tcPr>
          <w:p>
            <w:pPr>
              <w:spacing w:before="0" w:after="40"/>
            </w:pPr>
            <w:r>
              <w:rPr>
                <w:sz w:val="17"/>
              </w:rPr>
              <w:t>Prometheus metrics</w:t>
            </w:r>
          </w:p>
        </w:tc>
      </w:tr>
      <w:tr>
        <w:trPr>
          <w:cantSplit/>
        </w:trPr>
        <w:tc>
          <w:tcPr>
            <w:tcW w:type="dxa" w:w="2268"/>
            <w:shd w:val="clear" w:color="auto" w:fill="F7F9FC"/>
          </w:tcPr>
          <w:p>
            <w:pPr>
              <w:spacing w:before="0" w:after="40"/>
            </w:pPr>
            <w:r>
              <w:rPr>
                <w:sz w:val="17"/>
              </w:rPr>
              <w:t>GET /model-info</w:t>
            </w:r>
          </w:p>
        </w:tc>
        <w:tc>
          <w:tcPr>
            <w:tcW w:type="dxa" w:w="6803"/>
            <w:shd w:val="clear" w:color="auto" w:fill="F7F9FC"/>
          </w:tcPr>
          <w:p>
            <w:pPr>
              <w:spacing w:before="0" w:after="40"/>
            </w:pPr>
            <w:r>
              <w:rPr>
                <w:sz w:val="17"/>
              </w:rPr>
              <w:t>Packaged model metadata</w:t>
            </w:r>
          </w:p>
        </w:tc>
      </w:tr>
    </w:tbl>
    <w:p>
      <w:pPr>
        <w:spacing w:after="40"/>
      </w:pPr>
    </w:p>
    <w:p>
      <w:pPr>
        <w:pStyle w:val="Heading2"/>
        <w:keepNext/>
      </w:pPr>
      <w:r>
        <w:rPr>
          <w:b/>
        </w:rPr>
        <w:t>Example request</w:t>
      </w:r>
    </w:p>
    <w:p>
      <w:pPr>
        <w:keepLines/>
        <w:shd w:val="clear" w:color="auto" w:fill="F3F3F3"/>
        <w:spacing w:after="160"/>
      </w:pPr>
      <w:r>
        <w:rPr>
          <w:rFonts w:ascii="Consolas" w:hAnsi="Consolas"/>
          <w:sz w:val="15"/>
        </w:rPr>
        <w:t>{</w:t>
        <w:br/>
        <w:t xml:space="preserve">  "age": 54,</w:t>
        <w:br/>
        <w:t xml:space="preserve">  "sex": 1,</w:t>
        <w:br/>
        <w:t xml:space="preserve">  "cp": 3,</w:t>
        <w:br/>
        <w:t xml:space="preserve">  "trestbps": 130,</w:t>
        <w:br/>
        <w:t xml:space="preserve">  "chol": 246,</w:t>
        <w:br/>
        <w:t xml:space="preserve">  "fbs": 0,</w:t>
        <w:br/>
        <w:t xml:space="preserve">  "restecg": 0,</w:t>
        <w:br/>
        <w:t xml:space="preserve">  "thalach": 150,</w:t>
        <w:br/>
        <w:t xml:space="preserve">  "exang": 0,</w:t>
        <w:br/>
        <w:t xml:space="preserve">  "oldpeak": 1.0,</w:t>
        <w:br/>
        <w:t xml:space="preserve">  "slope": 2,</w:t>
        <w:br/>
        <w:t xml:space="preserve">  "ca": 0,</w:t>
        <w:br/>
        <w:t xml:space="preserve">  "thal": 3</w:t>
        <w:br/>
        <w:t>}</w:t>
      </w:r>
    </w:p>
    <w:p>
      <w:pPr>
        <w:spacing w:before="0" w:after="120"/>
      </w:pPr>
      <w:r>
        <w:rPr>
          <w:i/>
          <w:sz w:val="20"/>
        </w:rPr>
        <w:t>confidence</w:t>
      </w:r>
      <w:r>
        <w:rPr>
          <w:sz w:val="20"/>
        </w:rPr>
        <w:t xml:space="preserve"> is the probability of the predicted class; </w:t>
      </w:r>
      <w:r>
        <w:rPr>
          <w:i/>
          <w:sz w:val="20"/>
        </w:rPr>
        <w:t>risk_probability</w:t>
      </w:r>
      <w:r>
        <w:rPr>
          <w:sz w:val="20"/>
        </w:rPr>
        <w:t xml:space="preserve"> is the probability of heart disease.</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470059"/>
                  <wp:docPr id="15" name="Picture 15"/>
                  <wp:cNvGraphicFramePr>
                    <a:graphicFrameLocks noChangeAspect="1"/>
                  </wp:cNvGraphicFramePr>
                  <a:graphic>
                    <a:graphicData uri="http://schemas.openxmlformats.org/drawingml/2006/picture">
                      <pic:pic>
                        <pic:nvPicPr>
                          <pic:cNvPr id="0" name="docker_build.png"/>
                          <pic:cNvPicPr/>
                        </pic:nvPicPr>
                        <pic:blipFill>
                          <a:blip r:embed="rId24"/>
                          <a:stretch>
                            <a:fillRect/>
                          </a:stretch>
                        </pic:blipFill>
                        <pic:spPr>
                          <a:xfrm>
                            <a:off x="0" y="0"/>
                            <a:ext cx="2844000" cy="1470059"/>
                          </a:xfrm>
                          <a:prstGeom prst="rect"/>
                        </pic:spPr>
                      </pic:pic>
                    </a:graphicData>
                  </a:graphic>
                </wp:inline>
              </w:drawing>
            </w:r>
          </w:p>
          <w:p>
            <w:pPr>
              <w:spacing w:before="0" w:after="160"/>
              <w:jc w:val="center"/>
            </w:pPr>
            <w:r>
              <w:rPr>
                <w:i/>
                <w:color w:val="444444"/>
                <w:sz w:val="17"/>
              </w:rPr>
              <w:t>Docker image build completing successfully.</w:t>
            </w:r>
          </w:p>
        </w:tc>
        <w:tc>
          <w:tcPr>
            <w:tcW w:type="dxa" w:w="4762"/>
          </w:tcPr>
          <w:p>
            <w:pPr>
              <w:spacing w:after="40"/>
              <w:jc w:val="center"/>
            </w:pPr>
            <w:r>
              <w:drawing>
                <wp:inline xmlns:a="http://schemas.openxmlformats.org/drawingml/2006/main" xmlns:pic="http://schemas.openxmlformats.org/drawingml/2006/picture">
                  <wp:extent cx="2844000" cy="1440095"/>
                  <wp:docPr id="16" name="Picture 16"/>
                  <wp:cNvGraphicFramePr>
                    <a:graphicFrameLocks noChangeAspect="1"/>
                  </wp:cNvGraphicFramePr>
                  <a:graphic>
                    <a:graphicData uri="http://schemas.openxmlformats.org/drawingml/2006/picture">
                      <pic:pic>
                        <pic:nvPicPr>
                          <pic:cNvPr id="0" name="docker_run.png"/>
                          <pic:cNvPicPr/>
                        </pic:nvPicPr>
                        <pic:blipFill>
                          <a:blip r:embed="rId25"/>
                          <a:stretch>
                            <a:fillRect/>
                          </a:stretch>
                        </pic:blipFill>
                        <pic:spPr>
                          <a:xfrm>
                            <a:off x="0" y="0"/>
                            <a:ext cx="2844000" cy="1440095"/>
                          </a:xfrm>
                          <a:prstGeom prst="rect"/>
                        </pic:spPr>
                      </pic:pic>
                    </a:graphicData>
                  </a:graphic>
                </wp:inline>
              </w:drawing>
            </w:r>
          </w:p>
          <w:p>
            <w:pPr>
              <w:spacing w:before="0" w:after="160"/>
              <w:jc w:val="center"/>
            </w:pPr>
            <w:r>
              <w:rPr>
                <w:i/>
                <w:color w:val="444444"/>
                <w:sz w:val="17"/>
              </w:rPr>
              <w:t>Container running locally with request log lines.</w:t>
            </w:r>
          </w:p>
        </w:tc>
      </w:tr>
    </w:tbl>
    <w:p>
      <w:pPr>
        <w:spacing w:after="40"/>
      </w:pP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468174"/>
                  <wp:docPr id="17" name="Picture 17"/>
                  <wp:cNvGraphicFramePr>
                    <a:graphicFrameLocks noChangeAspect="1"/>
                  </wp:cNvGraphicFramePr>
                  <a:graphic>
                    <a:graphicData uri="http://schemas.openxmlformats.org/drawingml/2006/picture">
                      <pic:pic>
                        <pic:nvPicPr>
                          <pic:cNvPr id="0" name="api_predict.png"/>
                          <pic:cNvPicPr/>
                        </pic:nvPicPr>
                        <pic:blipFill>
                          <a:blip r:embed="rId26"/>
                          <a:stretch>
                            <a:fillRect/>
                          </a:stretch>
                        </pic:blipFill>
                        <pic:spPr>
                          <a:xfrm>
                            <a:off x="0" y="0"/>
                            <a:ext cx="2844000" cy="1468174"/>
                          </a:xfrm>
                          <a:prstGeom prst="rect"/>
                        </pic:spPr>
                      </pic:pic>
                    </a:graphicData>
                  </a:graphic>
                </wp:inline>
              </w:drawing>
            </w:r>
          </w:p>
          <w:p>
            <w:pPr>
              <w:spacing w:before="0" w:after="160"/>
              <w:jc w:val="center"/>
            </w:pPr>
            <w:r>
              <w:rPr>
                <w:i/>
                <w:color w:val="444444"/>
                <w:sz w:val="17"/>
              </w:rPr>
              <w:t>Successful call to /predict returning prediction and confidence.</w:t>
            </w:r>
          </w:p>
        </w:tc>
        <w:tc>
          <w:tcPr>
            <w:tcW w:type="dxa" w:w="4762"/>
          </w:tcPr>
          <w:p>
            <w:pPr>
              <w:spacing w:after="40"/>
              <w:jc w:val="center"/>
            </w:pPr>
            <w:r>
              <w:drawing>
                <wp:inline xmlns:a="http://schemas.openxmlformats.org/drawingml/2006/main" xmlns:pic="http://schemas.openxmlformats.org/drawingml/2006/picture">
                  <wp:extent cx="2844000" cy="1319765"/>
                  <wp:docPr id="18" name="Picture 18"/>
                  <wp:cNvGraphicFramePr>
                    <a:graphicFrameLocks noChangeAspect="1"/>
                  </wp:cNvGraphicFramePr>
                  <a:graphic>
                    <a:graphicData uri="http://schemas.openxmlformats.org/drawingml/2006/picture">
                      <pic:pic>
                        <pic:nvPicPr>
                          <pic:cNvPr id="0" name="api_docs.png"/>
                          <pic:cNvPicPr/>
                        </pic:nvPicPr>
                        <pic:blipFill>
                          <a:blip r:embed="rId27"/>
                          <a:stretch>
                            <a:fillRect/>
                          </a:stretch>
                        </pic:blipFill>
                        <pic:spPr>
                          <a:xfrm>
                            <a:off x="0" y="0"/>
                            <a:ext cx="2844000" cy="1319765"/>
                          </a:xfrm>
                          <a:prstGeom prst="rect"/>
                        </pic:spPr>
                      </pic:pic>
                    </a:graphicData>
                  </a:graphic>
                </wp:inline>
              </w:drawing>
            </w:r>
          </w:p>
          <w:p>
            <w:pPr>
              <w:spacing w:before="0" w:after="160"/>
              <w:jc w:val="center"/>
            </w:pPr>
            <w:r>
              <w:rPr>
                <w:i/>
                <w:color w:val="444444"/>
                <w:sz w:val="17"/>
              </w:rPr>
              <w:t>Interactive API documentation (Swagger UI) at /docs.</w:t>
            </w:r>
          </w:p>
        </w:tc>
      </w:tr>
    </w:tbl>
    <w:p>
      <w:pPr>
        <w:spacing w:after="40"/>
      </w:pPr>
    </w:p>
    <w:p>
      <w:pPr>
        <w:pStyle w:val="Heading1"/>
      </w:pPr>
      <w:r>
        <w:rPr>
          <w:b/>
        </w:rPr>
        <w:t>10. Production Deployment on Kubernetes</w:t>
      </w:r>
    </w:p>
    <w:p>
      <w:pPr>
        <w:spacing w:before="0" w:after="120"/>
      </w:pPr>
      <w:r>
        <w:rPr>
          <w:sz w:val="20"/>
        </w:rPr>
        <w:t>The image is deployed to a local Kubernetes cluster (Docker Desktop) with a Deployment of two replicas, readiness and liveness probes on /health, and resource requests and limits. A Service of type LoadBalancer exposes it. Access: http://localhost:8080 (local Kubernetes, Docker Desktop); see Section 8.</w:t>
      </w:r>
    </w:p>
    <w:p>
      <w:pPr>
        <w:spacing w:before="0" w:after="120"/>
      </w:pPr>
      <w:r>
        <w:rPr>
          <w:sz w:val="20"/>
        </w:rPr>
        <w:t xml:space="preserve">The complete manifests are in the k8s/ folder of the repository: </w:t>
      </w:r>
      <w:r>
        <w:rPr>
          <w:i/>
          <w:sz w:val="20"/>
        </w:rPr>
        <w:t>deployment.yaml</w:t>
      </w:r>
      <w:r>
        <w:rPr>
          <w:sz w:val="20"/>
        </w:rPr>
        <w:t xml:space="preserve"> (2 replicas, probes, resource limits, Prometheus scrape annotations) and </w:t>
      </w:r>
      <w:r>
        <w:rPr>
          <w:i/>
          <w:sz w:val="20"/>
        </w:rPr>
        <w:t>service.yaml</w:t>
      </w:r>
      <w:r>
        <w:rPr>
          <w:sz w:val="20"/>
        </w:rPr>
        <w:t xml:space="preserve"> (LoadBalancer, port 8080 to container port 8000).</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482819"/>
                  <wp:docPr id="19" name="Picture 19"/>
                  <wp:cNvGraphicFramePr>
                    <a:graphicFrameLocks noChangeAspect="1"/>
                  </wp:cNvGraphicFramePr>
                  <a:graphic>
                    <a:graphicData uri="http://schemas.openxmlformats.org/drawingml/2006/picture">
                      <pic:pic>
                        <pic:nvPicPr>
                          <pic:cNvPr id="0" name="k8s_pods.png"/>
                          <pic:cNvPicPr/>
                        </pic:nvPicPr>
                        <pic:blipFill>
                          <a:blip r:embed="rId28"/>
                          <a:stretch>
                            <a:fillRect/>
                          </a:stretch>
                        </pic:blipFill>
                        <pic:spPr>
                          <a:xfrm>
                            <a:off x="0" y="0"/>
                            <a:ext cx="2844000" cy="1482819"/>
                          </a:xfrm>
                          <a:prstGeom prst="rect"/>
                        </pic:spPr>
                      </pic:pic>
                    </a:graphicData>
                  </a:graphic>
                </wp:inline>
              </w:drawing>
            </w:r>
          </w:p>
          <w:p>
            <w:pPr>
              <w:spacing w:before="0" w:after="160"/>
              <w:jc w:val="center"/>
            </w:pPr>
            <w:r>
              <w:rPr>
                <w:i/>
                <w:color w:val="444444"/>
                <w:sz w:val="17"/>
              </w:rPr>
              <w:t>kubectl output: Deployment, 2 pods Running (1/1) and the LoadBalancer Service.</w:t>
            </w:r>
          </w:p>
        </w:tc>
        <w:tc>
          <w:tcPr>
            <w:tcW w:type="dxa" w:w="4762"/>
          </w:tcPr>
          <w:p>
            <w:pPr>
              <w:spacing w:after="40"/>
              <w:jc w:val="center"/>
            </w:pPr>
            <w:r>
              <w:drawing>
                <wp:inline xmlns:a="http://schemas.openxmlformats.org/drawingml/2006/main" xmlns:pic="http://schemas.openxmlformats.org/drawingml/2006/picture">
                  <wp:extent cx="2844000" cy="1289532"/>
                  <wp:docPr id="20" name="Picture 20"/>
                  <wp:cNvGraphicFramePr>
                    <a:graphicFrameLocks noChangeAspect="1"/>
                  </wp:cNvGraphicFramePr>
                  <a:graphic>
                    <a:graphicData uri="http://schemas.openxmlformats.org/drawingml/2006/picture">
                      <pic:pic>
                        <pic:nvPicPr>
                          <pic:cNvPr id="0" name="k8s_service_test.png"/>
                          <pic:cNvPicPr/>
                        </pic:nvPicPr>
                        <pic:blipFill>
                          <a:blip r:embed="rId29"/>
                          <a:stretch>
                            <a:fillRect/>
                          </a:stretch>
                        </pic:blipFill>
                        <pic:spPr>
                          <a:xfrm>
                            <a:off x="0" y="0"/>
                            <a:ext cx="2844000" cy="1289532"/>
                          </a:xfrm>
                          <a:prstGeom prst="rect"/>
                        </pic:spPr>
                      </pic:pic>
                    </a:graphicData>
                  </a:graphic>
                </wp:inline>
              </w:drawing>
            </w:r>
          </w:p>
          <w:p>
            <w:pPr>
              <w:spacing w:before="0" w:after="160"/>
              <w:jc w:val="center"/>
            </w:pPr>
            <w:r>
              <w:rPr>
                <w:i/>
                <w:color w:val="444444"/>
                <w:sz w:val="17"/>
              </w:rPr>
              <w:t>Health check and prediction through the Kubernetes service.</w:t>
            </w:r>
          </w:p>
        </w:tc>
      </w:tr>
    </w:tbl>
    <w:p>
      <w:pPr>
        <w:spacing w:after="40"/>
      </w:pPr>
    </w:p>
    <w:p>
      <w:pPr>
        <w:pStyle w:val="Heading1"/>
      </w:pPr>
      <w:r>
        <w:rPr>
          <w:b/>
        </w:rPr>
        <w:t>11. Monitoring and Logging</w:t>
      </w:r>
    </w:p>
    <w:p>
      <w:pPr>
        <w:spacing w:before="0" w:after="120"/>
      </w:pPr>
      <w:r>
        <w:rPr>
          <w:sz w:val="20"/>
        </w:rPr>
        <w:t>The API exposes Prometheus metrics, scraped every 5 seconds. Docker Compose runs the API, Prometheus and Grafana together; Grafana loads a provisioned dashboard. A single API container is monitored so that counters are consistent (with several pods behind one service, each scrape would hit a different pod).</w:t>
      </w: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4819"/>
        <w:gridCol w:w="4819"/>
      </w:tblGrid>
      <w:tr>
        <w:trPr>
          <w:cantSplit/>
        </w:trPr>
        <w:tc>
          <w:tcPr>
            <w:tcW w:type="dxa" w:w="3402"/>
            <w:shd w:val="clear" w:color="auto" w:fill="DCE4F0"/>
          </w:tcPr>
          <w:p>
            <w:pPr>
              <w:spacing w:before="0" w:after="40"/>
            </w:pPr>
            <w:r>
              <w:rPr>
                <w:b/>
                <w:sz w:val="17"/>
              </w:rPr>
              <w:t>Metric</w:t>
            </w:r>
          </w:p>
        </w:tc>
        <w:tc>
          <w:tcPr>
            <w:tcW w:type="dxa" w:w="5669"/>
            <w:shd w:val="clear" w:color="auto" w:fill="DCE4F0"/>
          </w:tcPr>
          <w:p>
            <w:pPr>
              <w:spacing w:before="0" w:after="40"/>
            </w:pPr>
            <w:r>
              <w:rPr>
                <w:b/>
                <w:sz w:val="17"/>
              </w:rPr>
              <w:t>Meaning</w:t>
            </w:r>
          </w:p>
        </w:tc>
      </w:tr>
      <w:tr>
        <w:trPr>
          <w:cantSplit/>
        </w:trPr>
        <w:tc>
          <w:tcPr>
            <w:tcW w:type="dxa" w:w="3402"/>
          </w:tcPr>
          <w:p>
            <w:pPr>
              <w:spacing w:before="0" w:after="40"/>
            </w:pPr>
            <w:r>
              <w:rPr>
                <w:sz w:val="17"/>
              </w:rPr>
              <w:t>http_requests_total</w:t>
            </w:r>
          </w:p>
        </w:tc>
        <w:tc>
          <w:tcPr>
            <w:tcW w:type="dxa" w:w="5669"/>
          </w:tcPr>
          <w:p>
            <w:pPr>
              <w:spacing w:before="0" w:after="40"/>
            </w:pPr>
            <w:r>
              <w:rPr>
                <w:sz w:val="17"/>
              </w:rPr>
              <w:t>Requests by method, path and status code</w:t>
            </w:r>
          </w:p>
        </w:tc>
      </w:tr>
      <w:tr>
        <w:trPr>
          <w:cantSplit/>
        </w:trPr>
        <w:tc>
          <w:tcPr>
            <w:tcW w:type="dxa" w:w="3402"/>
            <w:shd w:val="clear" w:color="auto" w:fill="F7F9FC"/>
          </w:tcPr>
          <w:p>
            <w:pPr>
              <w:spacing w:before="0" w:after="40"/>
            </w:pPr>
            <w:r>
              <w:rPr>
                <w:sz w:val="17"/>
              </w:rPr>
              <w:t>http_request_duration_seconds</w:t>
            </w:r>
          </w:p>
        </w:tc>
        <w:tc>
          <w:tcPr>
            <w:tcW w:type="dxa" w:w="5669"/>
            <w:shd w:val="clear" w:color="auto" w:fill="F7F9FC"/>
          </w:tcPr>
          <w:p>
            <w:pPr>
              <w:spacing w:before="0" w:after="40"/>
            </w:pPr>
            <w:r>
              <w:rPr>
                <w:sz w:val="17"/>
              </w:rPr>
              <w:t>Latency histogram per path</w:t>
            </w:r>
          </w:p>
        </w:tc>
      </w:tr>
      <w:tr>
        <w:trPr>
          <w:cantSplit/>
        </w:trPr>
        <w:tc>
          <w:tcPr>
            <w:tcW w:type="dxa" w:w="3402"/>
          </w:tcPr>
          <w:p>
            <w:pPr>
              <w:spacing w:before="0" w:after="40"/>
            </w:pPr>
            <w:r>
              <w:rPr>
                <w:sz w:val="17"/>
              </w:rPr>
              <w:t>predictions_total</w:t>
            </w:r>
          </w:p>
        </w:tc>
        <w:tc>
          <w:tcPr>
            <w:tcW w:type="dxa" w:w="5669"/>
          </w:tcPr>
          <w:p>
            <w:pPr>
              <w:spacing w:before="0" w:after="40"/>
            </w:pPr>
            <w:r>
              <w:rPr>
                <w:sz w:val="17"/>
              </w:rPr>
              <w:t>Predictions by outcome (disease / no_disease)</w:t>
            </w:r>
          </w:p>
        </w:tc>
      </w:tr>
      <w:tr>
        <w:trPr>
          <w:cantSplit/>
        </w:trPr>
        <w:tc>
          <w:tcPr>
            <w:tcW w:type="dxa" w:w="3402"/>
            <w:shd w:val="clear" w:color="auto" w:fill="F7F9FC"/>
          </w:tcPr>
          <w:p>
            <w:pPr>
              <w:spacing w:before="0" w:after="40"/>
            </w:pPr>
            <w:r>
              <w:rPr>
                <w:sz w:val="17"/>
              </w:rPr>
              <w:t>prediction_confidence</w:t>
            </w:r>
          </w:p>
        </w:tc>
        <w:tc>
          <w:tcPr>
            <w:tcW w:type="dxa" w:w="5669"/>
            <w:shd w:val="clear" w:color="auto" w:fill="F7F9FC"/>
          </w:tcPr>
          <w:p>
            <w:pPr>
              <w:spacing w:before="0" w:after="40"/>
            </w:pPr>
            <w:r>
              <w:rPr>
                <w:sz w:val="17"/>
              </w:rPr>
              <w:t>Histogram of prediction confidence</w:t>
            </w:r>
          </w:p>
        </w:tc>
      </w:tr>
    </w:tbl>
    <w:p>
      <w:pPr>
        <w:spacing w:after="40"/>
      </w:pPr>
    </w:p>
    <w:p>
      <w:pPr>
        <w:spacing w:before="0" w:after="120"/>
      </w:pPr>
      <w:r>
        <w:rPr>
          <w:sz w:val="20"/>
        </w:rPr>
        <w:t>With normal traffic (200 requests from the traffic script) the dashboard showed 193 successful predictions and 7 rejected requests, matching the 200 sent; the 7 are deliberately invalid requests that the API rejected with HTTP 422. The p95 latency of /predict stayed at roughly 14 to 24 ms. The test traffic is randomly generated, so the outcome mix reflects the generator, not real patients. After the shifted batch the share of disease predictions went up from 75% to 92% and the average confidence rose from 0.78 to 0.87.This is a simple illustration that a shift in incoming data shows up in prediction behaviour; it is not formal drift detection, which would compare feature distributions against the training data.</w:t>
      </w:r>
    </w:p>
    <w:p>
      <w:pPr>
        <w:keepNext/>
        <w:spacing w:after="40"/>
        <w:jc w:val="center"/>
      </w:pPr>
      <w:r>
        <w:drawing>
          <wp:inline xmlns:a="http://schemas.openxmlformats.org/drawingml/2006/main" xmlns:pic="http://schemas.openxmlformats.org/drawingml/2006/picture">
            <wp:extent cx="5220000" cy="2640189"/>
            <wp:docPr id="21" name="Picture 21"/>
            <wp:cNvGraphicFramePr>
              <a:graphicFrameLocks noChangeAspect="1"/>
            </wp:cNvGraphicFramePr>
            <a:graphic>
              <a:graphicData uri="http://schemas.openxmlformats.org/drawingml/2006/picture">
                <pic:pic>
                  <pic:nvPicPr>
                    <pic:cNvPr id="0" name="grafana_dashboard.png"/>
                    <pic:cNvPicPr/>
                  </pic:nvPicPr>
                  <pic:blipFill>
                    <a:blip r:embed="rId30"/>
                    <a:stretch>
                      <a:fillRect/>
                    </a:stretch>
                  </pic:blipFill>
                  <pic:spPr>
                    <a:xfrm>
                      <a:off x="0" y="0"/>
                      <a:ext cx="5220000" cy="2640189"/>
                    </a:xfrm>
                    <a:prstGeom prst="rect"/>
                  </pic:spPr>
                </pic:pic>
              </a:graphicData>
            </a:graphic>
          </wp:inline>
        </w:drawing>
      </w:r>
    </w:p>
    <w:p>
      <w:pPr>
        <w:spacing w:before="0" w:after="160"/>
        <w:jc w:val="center"/>
      </w:pPr>
      <w:r>
        <w:rPr>
          <w:i/>
          <w:color w:val="444444"/>
          <w:sz w:val="17"/>
        </w:rPr>
        <w:t>Grafana dashboard with request, latency, prediction and confidence panels.</w:t>
      </w:r>
    </w:p>
    <w:tbl>
      <w:tblPr>
        <w:tblW w:type="auto" w:w="0"/>
        <w:tblLayout w:type="fixed"/>
        <w:tblLook w:firstColumn="1" w:firstRow="1" w:lastColumn="0" w:lastRow="0" w:noHBand="0" w:noVBand="1" w:val="04A0"/>
      </w:tblPr>
      <w:tblGrid>
        <w:gridCol w:w="4819"/>
        <w:gridCol w:w="4819"/>
      </w:tblGrid>
      <w:tr>
        <w:trPr>
          <w:cantSplit/>
        </w:trPr>
        <w:tc>
          <w:tcPr>
            <w:tcW w:type="dxa" w:w="4762"/>
          </w:tcPr>
          <w:p>
            <w:pPr>
              <w:spacing w:after="40"/>
              <w:jc w:val="center"/>
            </w:pPr>
            <w:r>
              <w:drawing>
                <wp:inline xmlns:a="http://schemas.openxmlformats.org/drawingml/2006/main" xmlns:pic="http://schemas.openxmlformats.org/drawingml/2006/picture">
                  <wp:extent cx="2844000" cy="1019773"/>
                  <wp:docPr id="22" name="Picture 22"/>
                  <wp:cNvGraphicFramePr>
                    <a:graphicFrameLocks noChangeAspect="1"/>
                  </wp:cNvGraphicFramePr>
                  <a:graphic>
                    <a:graphicData uri="http://schemas.openxmlformats.org/drawingml/2006/picture">
                      <pic:pic>
                        <pic:nvPicPr>
                          <pic:cNvPr id="0" name="prometheus_targets.png"/>
                          <pic:cNvPicPr/>
                        </pic:nvPicPr>
                        <pic:blipFill>
                          <a:blip r:embed="rId31"/>
                          <a:stretch>
                            <a:fillRect/>
                          </a:stretch>
                        </pic:blipFill>
                        <pic:spPr>
                          <a:xfrm>
                            <a:off x="0" y="0"/>
                            <a:ext cx="2844000" cy="1019773"/>
                          </a:xfrm>
                          <a:prstGeom prst="rect"/>
                        </pic:spPr>
                      </pic:pic>
                    </a:graphicData>
                  </a:graphic>
                </wp:inline>
              </w:drawing>
            </w:r>
          </w:p>
          <w:p>
            <w:pPr>
              <w:spacing w:before="0" w:after="160"/>
              <w:jc w:val="center"/>
            </w:pPr>
            <w:r>
              <w:rPr>
                <w:i/>
                <w:color w:val="444444"/>
                <w:sz w:val="17"/>
              </w:rPr>
              <w:t>Prometheus targets page: API target is UP.</w:t>
            </w:r>
          </w:p>
        </w:tc>
        <w:tc>
          <w:tcPr>
            <w:tcW w:type="dxa" w:w="4762"/>
          </w:tcPr>
          <w:p>
            <w:pPr>
              <w:spacing w:after="40"/>
              <w:jc w:val="center"/>
            </w:pPr>
            <w:r>
              <w:drawing>
                <wp:inline xmlns:a="http://schemas.openxmlformats.org/drawingml/2006/main" xmlns:pic="http://schemas.openxmlformats.org/drawingml/2006/picture">
                  <wp:extent cx="2844000" cy="1685141"/>
                  <wp:docPr id="23" name="Picture 23"/>
                  <wp:cNvGraphicFramePr>
                    <a:graphicFrameLocks noChangeAspect="1"/>
                  </wp:cNvGraphicFramePr>
                  <a:graphic>
                    <a:graphicData uri="http://schemas.openxmlformats.org/drawingml/2006/picture">
                      <pic:pic>
                        <pic:nvPicPr>
                          <pic:cNvPr id="0" name="compose_logs.png"/>
                          <pic:cNvPicPr/>
                        </pic:nvPicPr>
                        <pic:blipFill>
                          <a:blip r:embed="rId32"/>
                          <a:stretch>
                            <a:fillRect/>
                          </a:stretch>
                        </pic:blipFill>
                        <pic:spPr>
                          <a:xfrm>
                            <a:off x="0" y="0"/>
                            <a:ext cx="2844000" cy="1685141"/>
                          </a:xfrm>
                          <a:prstGeom prst="rect"/>
                        </pic:spPr>
                      </pic:pic>
                    </a:graphicData>
                  </a:graphic>
                </wp:inline>
              </w:drawing>
            </w:r>
          </w:p>
          <w:p>
            <w:pPr>
              <w:spacing w:before="0" w:after="160"/>
              <w:jc w:val="center"/>
            </w:pPr>
            <w:r>
              <w:rPr>
                <w:i/>
                <w:color w:val="444444"/>
                <w:sz w:val="17"/>
              </w:rPr>
              <w:t>API request logs (docker compose logs api).</w:t>
            </w:r>
          </w:p>
        </w:tc>
      </w:tr>
    </w:tbl>
    <w:p>
      <w:pPr>
        <w:spacing w:after="40"/>
      </w:pPr>
    </w:p>
    <w:p>
      <w:pPr>
        <w:pStyle w:val="Heading1"/>
      </w:pPr>
      <w:r>
        <w:rPr>
          <w:b/>
        </w:rPr>
        <w:t>12. Repository, Deliverables and Limitations</w:t>
      </w:r>
    </w:p>
    <w:p>
      <w:pPr>
        <w:spacing w:before="0" w:after="120"/>
      </w:pPr>
      <w:r>
        <w:rPr>
          <w:sz w:val="20"/>
        </w:rPr>
        <w:t>Code repository: https://github.com/Dinesh-Bits-2026/heart-disease-mlops</w:t>
      </w:r>
    </w:p>
    <w:tbl>
      <w:tblPr>
        <w:tblW w:type="auto" w:w="0"/>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firstColumn="1" w:firstRow="1" w:lastColumn="0" w:lastRow="0" w:noHBand="0" w:noVBand="1" w:val="04A0"/>
      </w:tblPr>
      <w:tblGrid>
        <w:gridCol w:w="4819"/>
        <w:gridCol w:w="4819"/>
      </w:tblGrid>
      <w:tr>
        <w:trPr>
          <w:cantSplit/>
        </w:trPr>
        <w:tc>
          <w:tcPr>
            <w:tcW w:type="dxa" w:w="4535"/>
            <w:shd w:val="clear" w:color="auto" w:fill="DCE4F0"/>
          </w:tcPr>
          <w:p>
            <w:pPr>
              <w:spacing w:before="0" w:after="40"/>
            </w:pPr>
            <w:r>
              <w:rPr>
                <w:b/>
                <w:sz w:val="17"/>
              </w:rPr>
              <w:t>Deliverable</w:t>
            </w:r>
          </w:p>
        </w:tc>
        <w:tc>
          <w:tcPr>
            <w:tcW w:type="dxa" w:w="2268"/>
            <w:shd w:val="clear" w:color="auto" w:fill="DCE4F0"/>
          </w:tcPr>
          <w:p>
            <w:pPr>
              <w:spacing w:before="0" w:after="40"/>
            </w:pPr>
            <w:r>
              <w:rPr>
                <w:b/>
                <w:sz w:val="17"/>
              </w:rPr>
              <w:t>Status</w:t>
            </w:r>
          </w:p>
        </w:tc>
      </w:tr>
      <w:tr>
        <w:trPr>
          <w:cantSplit/>
        </w:trPr>
        <w:tc>
          <w:tcPr>
            <w:tcW w:type="dxa" w:w="4535"/>
          </w:tcPr>
          <w:p>
            <w:pPr>
              <w:spacing w:before="0" w:after="40"/>
            </w:pPr>
            <w:r>
              <w:rPr>
                <w:sz w:val="17"/>
              </w:rPr>
              <w:t>Code (src/, api/)</w:t>
            </w:r>
          </w:p>
        </w:tc>
        <w:tc>
          <w:tcPr>
            <w:tcW w:type="dxa" w:w="2268"/>
          </w:tcPr>
          <w:p>
            <w:pPr>
              <w:spacing w:before="0" w:after="40"/>
            </w:pPr>
            <w:r>
              <w:rPr>
                <w:sz w:val="17"/>
              </w:rPr>
              <w:t>Present</w:t>
            </w:r>
          </w:p>
        </w:tc>
      </w:tr>
      <w:tr>
        <w:trPr>
          <w:cantSplit/>
        </w:trPr>
        <w:tc>
          <w:tcPr>
            <w:tcW w:type="dxa" w:w="4535"/>
            <w:shd w:val="clear" w:color="auto" w:fill="F7F9FC"/>
          </w:tcPr>
          <w:p>
            <w:pPr>
              <w:spacing w:before="0" w:after="40"/>
            </w:pPr>
            <w:r>
              <w:rPr>
                <w:sz w:val="17"/>
              </w:rPr>
              <w:t>Dockerfile</w:t>
            </w:r>
          </w:p>
        </w:tc>
        <w:tc>
          <w:tcPr>
            <w:tcW w:type="dxa" w:w="2268"/>
            <w:shd w:val="clear" w:color="auto" w:fill="F7F9FC"/>
          </w:tcPr>
          <w:p>
            <w:pPr>
              <w:spacing w:before="0" w:after="40"/>
            </w:pPr>
            <w:r>
              <w:rPr>
                <w:sz w:val="17"/>
              </w:rPr>
              <w:t>Present</w:t>
            </w:r>
          </w:p>
        </w:tc>
      </w:tr>
      <w:tr>
        <w:trPr>
          <w:cantSplit/>
        </w:trPr>
        <w:tc>
          <w:tcPr>
            <w:tcW w:type="dxa" w:w="4535"/>
          </w:tcPr>
          <w:p>
            <w:pPr>
              <w:spacing w:before="0" w:after="40"/>
            </w:pPr>
            <w:r>
              <w:rPr>
                <w:sz w:val="17"/>
              </w:rPr>
              <w:t>requirements.txt</w:t>
            </w:r>
          </w:p>
        </w:tc>
        <w:tc>
          <w:tcPr>
            <w:tcW w:type="dxa" w:w="2268"/>
          </w:tcPr>
          <w:p>
            <w:pPr>
              <w:spacing w:before="0" w:after="40"/>
            </w:pPr>
            <w:r>
              <w:rPr>
                <w:sz w:val="17"/>
              </w:rPr>
              <w:t>Present</w:t>
            </w:r>
          </w:p>
        </w:tc>
      </w:tr>
      <w:tr>
        <w:trPr>
          <w:cantSplit/>
        </w:trPr>
        <w:tc>
          <w:tcPr>
            <w:tcW w:type="dxa" w:w="4535"/>
            <w:shd w:val="clear" w:color="auto" w:fill="F7F9FC"/>
          </w:tcPr>
          <w:p>
            <w:pPr>
              <w:spacing w:before="0" w:after="40"/>
            </w:pPr>
            <w:r>
              <w:rPr>
                <w:sz w:val="17"/>
              </w:rPr>
              <w:t>Cleaned dataset</w:t>
            </w:r>
          </w:p>
        </w:tc>
        <w:tc>
          <w:tcPr>
            <w:tcW w:type="dxa" w:w="2268"/>
            <w:shd w:val="clear" w:color="auto" w:fill="F7F9FC"/>
          </w:tcPr>
          <w:p>
            <w:pPr>
              <w:spacing w:before="0" w:after="40"/>
            </w:pPr>
            <w:r>
              <w:rPr>
                <w:sz w:val="17"/>
              </w:rPr>
              <w:t>Present</w:t>
            </w:r>
          </w:p>
        </w:tc>
      </w:tr>
      <w:tr>
        <w:trPr>
          <w:cantSplit/>
        </w:trPr>
        <w:tc>
          <w:tcPr>
            <w:tcW w:type="dxa" w:w="4535"/>
          </w:tcPr>
          <w:p>
            <w:pPr>
              <w:spacing w:before="0" w:after="40"/>
            </w:pPr>
            <w:r>
              <w:rPr>
                <w:sz w:val="17"/>
              </w:rPr>
              <w:t>Download script</w:t>
            </w:r>
          </w:p>
        </w:tc>
        <w:tc>
          <w:tcPr>
            <w:tcW w:type="dxa" w:w="2268"/>
          </w:tcPr>
          <w:p>
            <w:pPr>
              <w:spacing w:before="0" w:after="40"/>
            </w:pPr>
            <w:r>
              <w:rPr>
                <w:sz w:val="17"/>
              </w:rPr>
              <w:t>Present</w:t>
            </w:r>
          </w:p>
        </w:tc>
      </w:tr>
      <w:tr>
        <w:trPr>
          <w:cantSplit/>
        </w:trPr>
        <w:tc>
          <w:tcPr>
            <w:tcW w:type="dxa" w:w="4535"/>
            <w:shd w:val="clear" w:color="auto" w:fill="F7F9FC"/>
          </w:tcPr>
          <w:p>
            <w:pPr>
              <w:spacing w:before="0" w:after="40"/>
            </w:pPr>
            <w:r>
              <w:rPr>
                <w:sz w:val="17"/>
              </w:rPr>
              <w:t>Notebooks</w:t>
            </w:r>
          </w:p>
        </w:tc>
        <w:tc>
          <w:tcPr>
            <w:tcW w:type="dxa" w:w="2268"/>
            <w:shd w:val="clear" w:color="auto" w:fill="F7F9FC"/>
          </w:tcPr>
          <w:p>
            <w:pPr>
              <w:spacing w:before="0" w:after="40"/>
            </w:pPr>
            <w:r>
              <w:rPr>
                <w:sz w:val="17"/>
              </w:rPr>
              <w:t>Present</w:t>
            </w:r>
          </w:p>
        </w:tc>
      </w:tr>
      <w:tr>
        <w:trPr>
          <w:cantSplit/>
        </w:trPr>
        <w:tc>
          <w:tcPr>
            <w:tcW w:type="dxa" w:w="4535"/>
          </w:tcPr>
          <w:p>
            <w:pPr>
              <w:spacing w:before="0" w:after="40"/>
            </w:pPr>
            <w:r>
              <w:rPr>
                <w:sz w:val="17"/>
              </w:rPr>
              <w:t>Unit tests</w:t>
            </w:r>
          </w:p>
        </w:tc>
        <w:tc>
          <w:tcPr>
            <w:tcW w:type="dxa" w:w="2268"/>
          </w:tcPr>
          <w:p>
            <w:pPr>
              <w:spacing w:before="0" w:after="40"/>
            </w:pPr>
            <w:r>
              <w:rPr>
                <w:sz w:val="17"/>
              </w:rPr>
              <w:t>Present</w:t>
            </w:r>
          </w:p>
        </w:tc>
      </w:tr>
      <w:tr>
        <w:trPr>
          <w:cantSplit/>
        </w:trPr>
        <w:tc>
          <w:tcPr>
            <w:tcW w:type="dxa" w:w="4535"/>
            <w:shd w:val="clear" w:color="auto" w:fill="F7F9FC"/>
          </w:tcPr>
          <w:p>
            <w:pPr>
              <w:spacing w:before="0" w:after="40"/>
            </w:pPr>
            <w:r>
              <w:rPr>
                <w:sz w:val="17"/>
              </w:rPr>
              <w:t>CI workflow</w:t>
            </w:r>
          </w:p>
        </w:tc>
        <w:tc>
          <w:tcPr>
            <w:tcW w:type="dxa" w:w="2268"/>
            <w:shd w:val="clear" w:color="auto" w:fill="F7F9FC"/>
          </w:tcPr>
          <w:p>
            <w:pPr>
              <w:spacing w:before="0" w:after="40"/>
            </w:pPr>
            <w:r>
              <w:rPr>
                <w:sz w:val="17"/>
              </w:rPr>
              <w:t>Present</w:t>
            </w:r>
          </w:p>
        </w:tc>
      </w:tr>
      <w:tr>
        <w:trPr>
          <w:cantSplit/>
        </w:trPr>
        <w:tc>
          <w:tcPr>
            <w:tcW w:type="dxa" w:w="4535"/>
          </w:tcPr>
          <w:p>
            <w:pPr>
              <w:spacing w:before="0" w:after="40"/>
            </w:pPr>
            <w:r>
              <w:rPr>
                <w:sz w:val="17"/>
              </w:rPr>
              <w:t>Kubernetes manifests</w:t>
            </w:r>
          </w:p>
        </w:tc>
        <w:tc>
          <w:tcPr>
            <w:tcW w:type="dxa" w:w="2268"/>
          </w:tcPr>
          <w:p>
            <w:pPr>
              <w:spacing w:before="0" w:after="40"/>
            </w:pPr>
            <w:r>
              <w:rPr>
                <w:sz w:val="17"/>
              </w:rPr>
              <w:t>Present</w:t>
            </w:r>
          </w:p>
        </w:tc>
      </w:tr>
      <w:tr>
        <w:trPr>
          <w:cantSplit/>
        </w:trPr>
        <w:tc>
          <w:tcPr>
            <w:tcW w:type="dxa" w:w="4535"/>
            <w:shd w:val="clear" w:color="auto" w:fill="F7F9FC"/>
          </w:tcPr>
          <w:p>
            <w:pPr>
              <w:spacing w:before="0" w:after="40"/>
            </w:pPr>
            <w:r>
              <w:rPr>
                <w:sz w:val="17"/>
              </w:rPr>
              <w:t>Monitoring configuration</w:t>
            </w:r>
          </w:p>
        </w:tc>
        <w:tc>
          <w:tcPr>
            <w:tcW w:type="dxa" w:w="2268"/>
            <w:shd w:val="clear" w:color="auto" w:fill="F7F9FC"/>
          </w:tcPr>
          <w:p>
            <w:pPr>
              <w:spacing w:before="0" w:after="40"/>
            </w:pPr>
            <w:r>
              <w:rPr>
                <w:sz w:val="17"/>
              </w:rPr>
              <w:t>Present</w:t>
            </w:r>
          </w:p>
        </w:tc>
      </w:tr>
      <w:tr>
        <w:trPr>
          <w:cantSplit/>
        </w:trPr>
        <w:tc>
          <w:tcPr>
            <w:tcW w:type="dxa" w:w="4535"/>
          </w:tcPr>
          <w:p>
            <w:pPr>
              <w:spacing w:before="0" w:after="40"/>
            </w:pPr>
            <w:r>
              <w:rPr>
                <w:sz w:val="17"/>
              </w:rPr>
              <w:t>Screenshots folder</w:t>
            </w:r>
          </w:p>
        </w:tc>
        <w:tc>
          <w:tcPr>
            <w:tcW w:type="dxa" w:w="2268"/>
          </w:tcPr>
          <w:p>
            <w:pPr>
              <w:spacing w:before="0" w:after="40"/>
            </w:pPr>
            <w:r>
              <w:rPr>
                <w:sz w:val="17"/>
              </w:rPr>
              <w:t>Present</w:t>
            </w:r>
          </w:p>
        </w:tc>
      </w:tr>
    </w:tbl>
    <w:p>
      <w:pPr>
        <w:spacing w:after="40"/>
      </w:pPr>
    </w:p>
    <w:p>
      <w:pPr>
        <w:pStyle w:val="Heading2"/>
      </w:pPr>
      <w:r>
        <w:rPr>
          <w:b/>
        </w:rPr>
        <w:t>Limitations and future work</w:t>
      </w:r>
    </w:p>
    <w:p>
      <w:pPr>
        <w:spacing w:before="0" w:after="120"/>
      </w:pPr>
      <w:r>
        <w:rPr>
          <w:sz w:val="20"/>
        </w:rPr>
        <w:t>1. The dataset is small (about 300 patients from one study), so metrics are noisy and may not generalise; no real patient data was used and the model is a learning exercise, not a medical device. 2. The decision threshold is fixed at 0.5; a screening deployment would tune it for recall. 3. Kubernetes ran on a local single-node cluster using the local Docker image store, so there is no real high availability, autoscaling, cloud load balancer or container registry. 4. Monitoring covers service health and prediction behaviour only; there is no feature-level drift detection, alerting or automated retraining. Next steps would be to push the image to a container registry and deploy to a managed cluster (GKE, EKS or AKS), tune the decision threshold for recall, add feature-level drift detection with alerts, and automate retraining through the CI pipeline.</w:t>
      </w:r>
    </w:p>
    <w:sectPr w:rsidR="00FC693F" w:rsidRPr="0006063C" w:rsidSect="00034616">
      <w:footerReference w:type="defaul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MLOps Assignment 01 - Heart Disease Risk Prediction        Page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w:t>
    </w:r>
    <w:r>
      <w:rPr>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