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6DE04" w14:textId="77777777" w:rsidR="0060405A" w:rsidRDefault="00184A63" w:rsidP="0060405A">
      <w:r>
        <w:t>Article1</w:t>
      </w:r>
      <w:r>
        <w:br/>
      </w:r>
      <w:r w:rsidRPr="00184A63">
        <w:t xml:space="preserve">Pathogenic fungi are encased in rigid polysaccharide cell walls that contain potent pathogen-associated molecular patterns (PAMPs) but cannot be degraded by mammalian enzymes. During infection, fungi form large hyphae that are too large to be phagocytosed, leaving the mechanisms that eliminate persistent inflammatory cell wall material unknown. Here, we identify an </w:t>
      </w:r>
      <w:proofErr w:type="spellStart"/>
      <w:r w:rsidRPr="00184A63">
        <w:t>actin</w:t>
      </w:r>
      <w:proofErr w:type="spellEnd"/>
      <w:r w:rsidRPr="00184A63">
        <w:t>-dependent mechanism by which macrophages dismantle fungal hyphal cell walls. Macrophages assemble specialized ARPC5-containing Arp2/3-dependent actin rings around hyphae that sequester the antifungal receptor Dectin-1 together with the inhibitory phosphatase SHIP-1, thereby limiting inflammatory signalling while packaging fungal cell wall fragments into multivesicular bodies for release as immunologically silent extracellular vesicles that disseminate to the lungs and circulation. ARPC5-deficient macrophages fail to dismantle hyphae, resulting in Dectin-1-dependent inflammation and the release of pro-inflammatory extracellular vesicles. Consistently, macrophage-specific deletion of Arpc5 in experimental aspergillosis impairs fungal cell wall processing and causes Dectin-1-dependent mortality. These findings identify a previously unrecognized mechanism by which macrophages neutralize persistent fungal cell wall material, revealing that post-mortem management of fungal PAMPs is essential for maintaining immune tolerance during fungal infection.</w:t>
      </w:r>
      <w:r>
        <w:br/>
      </w:r>
      <w:r>
        <w:br/>
        <w:t>Artcle2</w:t>
      </w:r>
      <w:r>
        <w:br/>
      </w:r>
      <w:r w:rsidRPr="00184A63">
        <w:t>Every day, tissue macrophages eliminate 200–400 billion apoptotic cells to maintain tissue homeostasis and prevent secondary necrosis, which would otherwise release damage-associated molecular patterns (DAMPs) and drive chronic inflammation. Because apoptotic cells are often comparable to or larger than the macrophages that engulf them, continuous efferocytosis imposes an extraordinary bioenergetic burden. How macrophages sustain this lifelong demand has remained a fundamental unanswered question. Here, we uncover a previously unrecognized mechanism in which macrophages selectively acquire mitochondria from engulfed apoptotic cells, restore their mitochondrial membrane potential through repolarization, and integrate these functional organelles into their own mitochondrial network. The recycled mitochondria enhance oxidative metabolism and ATP production, providing the energy required to sustain subsequent rounds of efferocytosis, while the remaining apoptotic cargo is directed to lysosomal degradation. Disruption of mitochondrial acquisition or repolarization compromises sustained apoptotic cell clearance, resulting in the accumulation of dying cells, secondary necrosis, and heightened inflammatory responses. These findings redefine apoptotic cells as not only substrates for disposal but also a renewable source of functional mitochondria, establishing intercellular mitochondrial recycling as a fundamental mechanism that fuels macrophage efferocytosis, inflammation resolution, and tissue homeostasis.</w:t>
      </w:r>
      <w:r w:rsidR="0060405A">
        <w:br/>
      </w:r>
      <w:r w:rsidR="0060405A">
        <w:br/>
        <w:t>Article3</w:t>
      </w:r>
      <w:r w:rsidR="0060405A">
        <w:br/>
        <w:t>Pharmacological Enhancement of Efferocytosis for Inflammation Resolution</w:t>
      </w:r>
    </w:p>
    <w:p w14:paraId="04CFF52E" w14:textId="77777777" w:rsidR="0060405A" w:rsidRDefault="0060405A" w:rsidP="0060405A"/>
    <w:p w14:paraId="38FDA241" w14:textId="77777777" w:rsidR="0060405A" w:rsidRDefault="0060405A" w:rsidP="0060405A">
      <w:r>
        <w:t>Defective efferocytosis—the inefficient clearance of apoptotic cells—is a hallmark of numerous chronic inflammatory diseases, including cardiovascular disease, autoimmune disorders, fibrosis, and neurodegeneration. Despite its central role in maintaining tissue homeostasis, no approved therapies are specifically designed to enhance macrophage efferocytosis.</w:t>
      </w:r>
    </w:p>
    <w:p w14:paraId="75466875" w14:textId="77777777" w:rsidR="0060405A" w:rsidRDefault="0060405A" w:rsidP="0060405A"/>
    <w:p w14:paraId="29225055" w14:textId="77777777" w:rsidR="0060405A" w:rsidRDefault="0060405A" w:rsidP="0060405A">
      <w:r>
        <w:t xml:space="preserve">To address this unmet need, I developed a high-throughput phenotypic screening platform to identify small molecules that enhance macrophage efferocytosis. By screening FDA-approved drug libraries together with a curated </w:t>
      </w:r>
      <w:proofErr w:type="spellStart"/>
      <w:r>
        <w:t>Tocris</w:t>
      </w:r>
      <w:proofErr w:type="spellEnd"/>
      <w:r>
        <w:t xml:space="preserve"> bioactive compound collection, I identified and experimentally validated multiple compounds that significantly improve the efficiency of apoptotic cell clearance.</w:t>
      </w:r>
    </w:p>
    <w:p w14:paraId="2470A239" w14:textId="77777777" w:rsidR="0060405A" w:rsidRDefault="0060405A" w:rsidP="0060405A"/>
    <w:p w14:paraId="1972529E" w14:textId="77777777" w:rsidR="00DD06DF" w:rsidRDefault="0060405A" w:rsidP="00DD06DF">
      <w:r>
        <w:t>This work establishes a foundation for drug repurposing to therapeutically enhance inflammation resolution. Ongoing studies focus on defining the molecular mechanisms underlying these compounds and evaluating their translational potential in chronic inflammatory diseases. Ultimately, this platform aims to accelerate the development of novel pro-resolving therapies by leveraging clinically tractable molecules with established safety profiles.</w:t>
      </w:r>
      <w:r w:rsidR="00DD06DF">
        <w:br/>
      </w:r>
      <w:r w:rsidR="00DD06DF">
        <w:br/>
        <w:t>Biography</w:t>
      </w:r>
      <w:r w:rsidR="00DD06DF">
        <w:br/>
      </w:r>
      <w:r w:rsidR="00DD06DF">
        <w:t>Dr. Umesh Kumar Dhawan was born in Dausa, Rajasthan, India, and raised in a small rural village where educational opportunities were limited. He attended the government primary school in his village until the fifth standard. As there was no secondary school in the village, he travelled daily to a nearby village to continue his education through the eighth standard. To complete his higher secondary education (10th and 12th standard), he moved to Dausa city, as no senior school was available in his village.</w:t>
      </w:r>
    </w:p>
    <w:p w14:paraId="51D8373D" w14:textId="77777777" w:rsidR="00DD06DF" w:rsidRDefault="00DD06DF" w:rsidP="00DD06DF">
      <w:r>
        <w:t>Growing up in a rural environment instilled in him resilience, determination, and a deep appreciation for education. Fascinated by biology and the complexity of living systems from an early age, he chose to pursue a Bachelor's degree in Biotechnology at the University of Rajasthan.</w:t>
      </w:r>
    </w:p>
    <w:p w14:paraId="6ECBEFB5" w14:textId="77777777" w:rsidR="00DD06DF" w:rsidRDefault="00DD06DF" w:rsidP="00DD06DF">
      <w:r>
        <w:t>Following graduation, he qualified in the Combined Biotechnology Entrance Examination (CEEB) and joined the University of Allahabad for his Master's degree in Biotechnology. Supported by the Department of Biotechnology (DBT), Government of India, through a monthly fellowship, he was able to pursue higher education despite limited financial resources. During this period, his passion for immunology and biomedical research grew, motivating him to pursue a research career.</w:t>
      </w:r>
    </w:p>
    <w:p w14:paraId="20B7D6B6" w14:textId="77777777" w:rsidR="00DD06DF" w:rsidRDefault="00DD06DF" w:rsidP="00DD06DF">
      <w:r>
        <w:lastRenderedPageBreak/>
        <w:t>He subsequently qualified several highly competitive national examinations, including the CSIR-UGC NET, DBT-Junior Research Fellowship (DBT-JRF), and GATE. Driven by his interest in understanding the immune system and inflammation, he joined the laboratory of Dr. Manikandan Subramanian at the CSIR-Institute of Genomics and Integrative Biology (CSIR-IGIB), New Delhi, for his doctoral research. When his supervisor relocated to the William Harvey Research Institute, Queen Mary University of London, Umesh continued his Ph.D. research there, earning a Ph.D. in Cardiovascular Medicine. He then completed a postdoctoral fellowship at Queen Mary University of London before joining the Francis Crick Institute, London, as a Postdoctoral Fellow.</w:t>
      </w:r>
    </w:p>
    <w:p w14:paraId="47B4C395" w14:textId="77777777" w:rsidR="00DD06DF" w:rsidRDefault="00DD06DF" w:rsidP="00DD06DF">
      <w:r>
        <w:t xml:space="preserve">His research focuses on uncovering fundamental mechanisms by which the immune system resolves inflammation and maintains tissue homeostasis. During his doctoral work, he discovered novel mechanisms regulating extracellular DNA clearance and demonstrated how defects in these pathways contribute to chronic inflammatory diseases such as atherosclerosis. At the Francis Crick Institute, his work has expanded into fungal immunity and macrophage biology, where he uncovered an </w:t>
      </w:r>
      <w:proofErr w:type="spellStart"/>
      <w:r>
        <w:t>actin</w:t>
      </w:r>
      <w:proofErr w:type="spellEnd"/>
      <w:r>
        <w:t>-dependent mechanism by which macrophages dismantle fungal cell walls to prevent excessive inflammation. He is also investigating a previously unrecognized mechanism through which macrophages recycle functional mitochondria from apoptotic cells to sustain the enormous energetic demands of continuous efferocytosis.</w:t>
      </w:r>
    </w:p>
    <w:p w14:paraId="1D13E150" w14:textId="7CBFFF32" w:rsidR="006D6911" w:rsidRDefault="00DD06DF" w:rsidP="00DD06DF">
      <w:r>
        <w:t>Coming from a small village with limited educational resources to conducting research at one of the world's leading biomedical research institutes, Dr. Dhawan's journey reflects the transformative power of perseverance, curiosity, and opportunity. His long-term ambition is to establish an independent research program in India dedicated to understanding inflammation resolution and immune homeostasis, while mentoring the next generation of scientists from diverse backgrounds. He hopes his story encourages young students—especially those from rural and underrepresented communities—to believe that determination, hard work, and a passion for science can overcome even the most challenging circumstances.</w:t>
      </w:r>
    </w:p>
    <w:sectPr w:rsidR="006D69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0D1"/>
    <w:rsid w:val="00184A63"/>
    <w:rsid w:val="00591BA9"/>
    <w:rsid w:val="0060405A"/>
    <w:rsid w:val="006D6911"/>
    <w:rsid w:val="00B700D1"/>
    <w:rsid w:val="00B86D5C"/>
    <w:rsid w:val="00D17EC6"/>
    <w:rsid w:val="00DD06DF"/>
    <w:rsid w:val="00F147F1"/>
    <w:rsid w:val="00FF3C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4193B"/>
  <w15:chartTrackingRefBased/>
  <w15:docId w15:val="{521EB4FB-7434-42D4-9C7C-A7CAE2894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0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00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00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00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00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00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0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0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0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0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00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00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00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00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00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0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0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0D1"/>
    <w:rPr>
      <w:rFonts w:eastAsiaTheme="majorEastAsia" w:cstheme="majorBidi"/>
      <w:color w:val="272727" w:themeColor="text1" w:themeTint="D8"/>
    </w:rPr>
  </w:style>
  <w:style w:type="paragraph" w:styleId="Title">
    <w:name w:val="Title"/>
    <w:basedOn w:val="Normal"/>
    <w:next w:val="Normal"/>
    <w:link w:val="TitleChar"/>
    <w:uiPriority w:val="10"/>
    <w:qFormat/>
    <w:rsid w:val="00B700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0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0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0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0D1"/>
    <w:pPr>
      <w:spacing w:before="160"/>
      <w:jc w:val="center"/>
    </w:pPr>
    <w:rPr>
      <w:i/>
      <w:iCs/>
      <w:color w:val="404040" w:themeColor="text1" w:themeTint="BF"/>
    </w:rPr>
  </w:style>
  <w:style w:type="character" w:customStyle="1" w:styleId="QuoteChar">
    <w:name w:val="Quote Char"/>
    <w:basedOn w:val="DefaultParagraphFont"/>
    <w:link w:val="Quote"/>
    <w:uiPriority w:val="29"/>
    <w:rsid w:val="00B700D1"/>
    <w:rPr>
      <w:i/>
      <w:iCs/>
      <w:color w:val="404040" w:themeColor="text1" w:themeTint="BF"/>
    </w:rPr>
  </w:style>
  <w:style w:type="paragraph" w:styleId="ListParagraph">
    <w:name w:val="List Paragraph"/>
    <w:basedOn w:val="Normal"/>
    <w:uiPriority w:val="34"/>
    <w:qFormat/>
    <w:rsid w:val="00B700D1"/>
    <w:pPr>
      <w:ind w:left="720"/>
      <w:contextualSpacing/>
    </w:pPr>
  </w:style>
  <w:style w:type="character" w:styleId="IntenseEmphasis">
    <w:name w:val="Intense Emphasis"/>
    <w:basedOn w:val="DefaultParagraphFont"/>
    <w:uiPriority w:val="21"/>
    <w:qFormat/>
    <w:rsid w:val="00B700D1"/>
    <w:rPr>
      <w:i/>
      <w:iCs/>
      <w:color w:val="2F5496" w:themeColor="accent1" w:themeShade="BF"/>
    </w:rPr>
  </w:style>
  <w:style w:type="paragraph" w:styleId="IntenseQuote">
    <w:name w:val="Intense Quote"/>
    <w:basedOn w:val="Normal"/>
    <w:next w:val="Normal"/>
    <w:link w:val="IntenseQuoteChar"/>
    <w:uiPriority w:val="30"/>
    <w:qFormat/>
    <w:rsid w:val="00B700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00D1"/>
    <w:rPr>
      <w:i/>
      <w:iCs/>
      <w:color w:val="2F5496" w:themeColor="accent1" w:themeShade="BF"/>
    </w:rPr>
  </w:style>
  <w:style w:type="character" w:styleId="IntenseReference">
    <w:name w:val="Intense Reference"/>
    <w:basedOn w:val="DefaultParagraphFont"/>
    <w:uiPriority w:val="32"/>
    <w:qFormat/>
    <w:rsid w:val="00B700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1161</Words>
  <Characters>6622</Characters>
  <Application>Microsoft Office Word</Application>
  <DocSecurity>0</DocSecurity>
  <Lines>55</Lines>
  <Paragraphs>15</Paragraphs>
  <ScaleCrop>false</ScaleCrop>
  <Company/>
  <LinksUpToDate>false</LinksUpToDate>
  <CharactersWithSpaces>7768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DHAWAN</dc:creator>
  <cp:keywords/>
  <dc:description/>
  <cp:lastModifiedBy>DINESH DHAWAN</cp:lastModifiedBy>
  <cp:revision>4</cp:revision>
  <dcterms:created xsi:type="dcterms:W3CDTF">2026-07-23T08:32:00Z</dcterms:created>
  <dcterms:modified xsi:type="dcterms:W3CDTF">2026-07-23T12:07:00Z</dcterms:modified>
</cp:coreProperties>
</file>