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59" w:lineRule="auto"/>
        <w:jc w:val="center"/>
      </w:pPr>
      <w:r>
        <w:rPr>
          <w:b/>
          <w:color w:val="0D4B2D"/>
          <w:sz w:val="60"/>
        </w:rPr>
        <w:t>QUICKCART ANALYTICS</w:t>
      </w:r>
    </w:p>
    <w:p>
      <w:pPr>
        <w:spacing w:before="0" w:after="120" w:line="259" w:lineRule="auto"/>
        <w:jc w:val="center"/>
      </w:pPr>
      <w:r>
        <w:rPr>
          <w:b/>
          <w:color w:val="4BA046"/>
          <w:sz w:val="34"/>
        </w:rPr>
        <w:t>Business Intelligence &amp; Power BI Project Report</w:t>
      </w:r>
    </w:p>
    <w:p>
      <w:pPr>
        <w:spacing w:before="0" w:after="120" w:line="259" w:lineRule="auto"/>
        <w:jc w:val="center"/>
      </w:pPr>
      <w:r>
        <w:rPr>
          <w:i/>
        </w:rPr>
        <w:t>SQL Server • Power Query • DAX • Power BI</w:t>
      </w:r>
    </w:p>
    <w:p>
      <w:pPr>
        <w:spacing w:before="0" w:after="120" w:line="259" w:lineRule="auto"/>
        <w:jc w:val="center"/>
      </w:pPr>
    </w:p>
    <w:p>
      <w:pPr>
        <w:spacing w:before="0" w:after="120" w:line="259" w:lineRule="auto"/>
        <w:jc w:val="center"/>
      </w:pPr>
      <w:r>
        <w:rPr>
          <w:b/>
        </w:rPr>
        <w:t>Prepared by: Dinesh</w:t>
      </w:r>
    </w:p>
    <w:p>
      <w:pPr>
        <w:spacing w:before="0" w:after="120" w:line="259" w:lineRule="auto"/>
      </w:pPr>
      <w:r>
        <w:br w:type="page"/>
      </w:r>
    </w:p>
    <w:p>
      <w:pPr>
        <w:pStyle w:val="Heading1"/>
        <w:spacing w:before="200" w:after="120" w:line="240" w:lineRule="auto"/>
      </w:pPr>
      <w:r>
        <w:t>1. Executive Summary</w:t>
      </w:r>
    </w:p>
    <w:p>
      <w:pPr>
        <w:spacing w:before="0" w:after="120" w:line="259" w:lineRule="auto"/>
      </w:pPr>
      <w:r>
        <w:t>QuickCart Analytics is a business intelligence project developed to provide an interactive view of quick-commerce order, sales, picker and delivery operations. The solution combines SQL Server analysis with Power BI reporting and DAX-based KPIs.</w:t>
      </w:r>
    </w:p>
    <w:p>
      <w:pPr>
        <w:spacing w:before="0" w:after="120" w:line="259" w:lineRule="auto"/>
      </w:pPr>
      <w:r>
        <w:t>The final dashboard contains five pages: Executive Overview, Order &amp; Sales Analysis, Picker Performance, Delivery Partner Performance, and Operations &amp; Business Insights.</w:t>
      </w:r>
    </w:p>
    <w:p>
      <w:pPr>
        <w:pStyle w:val="Heading1"/>
        <w:spacing w:before="200" w:after="120" w:line="240" w:lineRule="auto"/>
      </w:pPr>
      <w:r>
        <w:t>2. Business Problem</w:t>
      </w:r>
    </w:p>
    <w:p>
      <w:pPr>
        <w:spacing w:before="0" w:after="120" w:line="259" w:lineRule="auto"/>
      </w:pPr>
      <w:r>
        <w:t>A quick-commerce operation generates multiple operational signals across orders, categories, pickers and delivery partners. A management team needs a single analytical view to monitor order volume, revenue, completion performance, picking time, delivery time, employee workload and operational efficiency.</w:t>
      </w:r>
    </w:p>
    <w:p>
      <w:pPr>
        <w:pStyle w:val="Heading1"/>
        <w:spacing w:before="200" w:after="120" w:line="240" w:lineRule="auto"/>
      </w:pPr>
      <w:r>
        <w:t>3. Project Objectives</w:t>
      </w:r>
    </w:p>
    <w:p>
      <w:pPr>
        <w:pStyle w:val="ListBullet"/>
        <w:spacing w:before="0" w:after="60" w:line="240" w:lineRule="auto"/>
      </w:pPr>
      <w:r>
        <w:t>Measure overall order and revenue performance.</w:t>
      </w:r>
    </w:p>
    <w:p>
      <w:pPr>
        <w:pStyle w:val="ListBullet"/>
        <w:spacing w:before="0" w:after="60" w:line="240" w:lineRule="auto"/>
      </w:pPr>
      <w:r>
        <w:t>Analyze category and order-status patterns.</w:t>
      </w:r>
    </w:p>
    <w:p>
      <w:pPr>
        <w:pStyle w:val="ListBullet"/>
        <w:spacing w:before="0" w:after="60" w:line="240" w:lineRule="auto"/>
      </w:pPr>
      <w:r>
        <w:t>Evaluate picker productivity, attendance and income.</w:t>
      </w:r>
    </w:p>
    <w:p>
      <w:pPr>
        <w:pStyle w:val="ListBullet"/>
        <w:spacing w:before="0" w:after="60" w:line="240" w:lineRule="auto"/>
      </w:pPr>
      <w:r>
        <w:t>Evaluate delivery partner workload, speed and completion.</w:t>
      </w:r>
    </w:p>
    <w:p>
      <w:pPr>
        <w:pStyle w:val="ListBullet"/>
        <w:spacing w:before="0" w:after="60" w:line="240" w:lineRule="auto"/>
      </w:pPr>
      <w:r>
        <w:t>Compare operational KPIs.</w:t>
      </w:r>
    </w:p>
    <w:p>
      <w:pPr>
        <w:pStyle w:val="ListBullet"/>
        <w:spacing w:before="0" w:after="60" w:line="240" w:lineRule="auto"/>
      </w:pPr>
      <w:r>
        <w:t>Create an interactive management dashboard.</w:t>
      </w:r>
    </w:p>
    <w:p>
      <w:pPr>
        <w:pStyle w:val="ListBullet"/>
        <w:spacing w:before="0" w:after="60" w:line="240" w:lineRule="auto"/>
      </w:pPr>
      <w:r>
        <w:t>Support data-driven insights and recommendations.</w:t>
      </w:r>
    </w:p>
    <w:p>
      <w:pPr>
        <w:pStyle w:val="Heading1"/>
        <w:spacing w:before="200" w:after="120" w:line="240" w:lineRule="auto"/>
      </w:pPr>
      <w:r>
        <w:t>4. Tools &amp; Technologies</w:t>
      </w:r>
    </w:p>
    <w:tbl>
      <w:tblPr>
        <w:tblStyle w:val="TableGrid"/>
        <w:tblW w:type="auto" w:w="0"/>
        <w:jc w:val="center"/>
        <w:tblLayout w:type="autofit"/>
        <w:tblLook w:firstColumn="1" w:firstRow="1" w:lastColumn="0" w:lastRow="0" w:noHBand="0" w:noVBand="1" w:val="04A0"/>
        <w:tblBorders>
          <w:top w:val="single" w:sz="6" w:space="0" w:color="C8DCCB"/>
          <w:left w:val="single" w:sz="6" w:space="0" w:color="C8DCCB"/>
          <w:bottom w:val="single" w:sz="6" w:space="0" w:color="C8DCCB"/>
          <w:right w:val="single" w:sz="6" w:space="0" w:color="C8DCCB"/>
          <w:insideH w:val="single" w:sz="6" w:space="0" w:color="C8DCCB"/>
          <w:insideV w:val="single" w:sz="6" w:space="0" w:color="C8DCCB"/>
        </w:tblBorders>
      </w:tblPr>
      <w:tblGrid>
        <w:gridCol w:w="5112"/>
        <w:gridCol w:w="5112"/>
      </w:tblGrid>
      <w:tr>
        <w:trPr>
          <w:tblHeader w:val="true"/>
        </w:trPr>
        <w:tc>
          <w:tcPr>
            <w:tcW w:type="dxa" w:w="5112"/>
            <w:shd w:fill="0C492B"/>
            <w:tcMar>
              <w:top w:w="80" w:type="dxa"/>
              <w:start w:w="100" w:type="dxa"/>
              <w:bottom w:w="80" w:type="dxa"/>
              <w:end w:w="100" w:type="dxa"/>
            </w:tcMar>
            <w:vAlign w:val="center"/>
          </w:tcPr>
          <w:p>
            <w:pPr>
              <w:jc w:val="center"/>
            </w:pPr>
            <w:r>
              <w:rPr>
                <w:rFonts w:ascii="Aptos" w:hAnsi="Aptos"/>
                <w:b/>
                <w:color w:val="FFFFFF"/>
                <w:sz w:val="19"/>
              </w:rPr>
              <w:t>Technology</w:t>
            </w:r>
          </w:p>
        </w:tc>
        <w:tc>
          <w:tcPr>
            <w:tcW w:type="dxa" w:w="5112"/>
            <w:shd w:fill="0C492B"/>
            <w:tcMar>
              <w:top w:w="80" w:type="dxa"/>
              <w:start w:w="100" w:type="dxa"/>
              <w:bottom w:w="80" w:type="dxa"/>
              <w:end w:w="100" w:type="dxa"/>
            </w:tcMar>
            <w:vAlign w:val="center"/>
          </w:tcPr>
          <w:p>
            <w:pPr>
              <w:jc w:val="center"/>
            </w:pPr>
            <w:r>
              <w:rPr>
                <w:rFonts w:ascii="Aptos" w:hAnsi="Aptos"/>
                <w:b/>
                <w:color w:val="FFFFFF"/>
                <w:sz w:val="19"/>
              </w:rPr>
              <w:t>Purpose</w:t>
            </w:r>
          </w:p>
        </w:tc>
      </w:tr>
      <w:tr>
        <w:tc>
          <w:tcPr>
            <w:tcW w:type="dxa" w:w="5112"/>
            <w:tcMar>
              <w:top w:w="80" w:type="dxa"/>
              <w:start w:w="100" w:type="dxa"/>
              <w:bottom w:w="80" w:type="dxa"/>
              <w:end w:w="100" w:type="dxa"/>
            </w:tcMar>
            <w:vAlign w:val="center"/>
          </w:tcPr>
          <w:p>
            <w:pPr>
              <w:spacing w:after="0" w:line="240" w:lineRule="auto"/>
            </w:pPr>
            <w:r>
              <w:rPr>
                <w:rFonts w:ascii="Aptos" w:hAnsi="Aptos"/>
                <w:b/>
                <w:color w:val="0C492B"/>
                <w:sz w:val="18"/>
              </w:rPr>
              <w:t>Microsoft SQL Server</w:t>
            </w:r>
          </w:p>
        </w:tc>
        <w:tc>
          <w:tcPr>
            <w:tcW w:type="dxa" w:w="5112"/>
            <w:tcMar>
              <w:top w:w="80" w:type="dxa"/>
              <w:start w:w="100" w:type="dxa"/>
              <w:bottom w:w="80" w:type="dxa"/>
              <w:end w:w="100" w:type="dxa"/>
            </w:tcMar>
            <w:vAlign w:val="center"/>
          </w:tcPr>
          <w:p>
            <w:pPr>
              <w:spacing w:after="0" w:line="240" w:lineRule="auto"/>
            </w:pPr>
            <w:r>
              <w:rPr>
                <w:rFonts w:ascii="Aptos" w:hAnsi="Aptos"/>
                <w:color w:val="555555"/>
                <w:sz w:val="18"/>
              </w:rPr>
              <w:t>Database storage and SQL analysis</w:t>
            </w:r>
          </w:p>
        </w:tc>
      </w:tr>
      <w:tr>
        <w:tc>
          <w:tcPr>
            <w:tcW w:type="dxa" w:w="5112"/>
            <w:tcMar>
              <w:top w:w="80" w:type="dxa"/>
              <w:start w:w="100" w:type="dxa"/>
              <w:bottom w:w="80" w:type="dxa"/>
              <w:end w:w="100" w:type="dxa"/>
            </w:tcMar>
            <w:vAlign w:val="center"/>
            <w:shd w:fill="F5FAF4"/>
          </w:tcPr>
          <w:p>
            <w:pPr>
              <w:spacing w:after="0" w:line="240" w:lineRule="auto"/>
            </w:pPr>
            <w:r>
              <w:rPr>
                <w:rFonts w:ascii="Aptos" w:hAnsi="Aptos"/>
                <w:b/>
                <w:color w:val="0C492B"/>
                <w:sz w:val="18"/>
              </w:rPr>
              <w:t>SQL</w:t>
            </w:r>
          </w:p>
        </w:tc>
        <w:tc>
          <w:tcPr>
            <w:tcW w:type="dxa" w:w="5112"/>
            <w:tcMar>
              <w:top w:w="80" w:type="dxa"/>
              <w:start w:w="100" w:type="dxa"/>
              <w:bottom w:w="80" w:type="dxa"/>
              <w:end w:w="100" w:type="dxa"/>
            </w:tcMar>
            <w:vAlign w:val="center"/>
            <w:shd w:fill="F5FAF4"/>
          </w:tcPr>
          <w:p>
            <w:pPr>
              <w:spacing w:after="0" w:line="240" w:lineRule="auto"/>
            </w:pPr>
            <w:r>
              <w:rPr>
                <w:rFonts w:ascii="Aptos" w:hAnsi="Aptos"/>
                <w:color w:val="555555"/>
                <w:sz w:val="18"/>
              </w:rPr>
              <w:t>Filtering, aggregation, grouping and analysis</w:t>
            </w:r>
          </w:p>
        </w:tc>
      </w:tr>
      <w:tr>
        <w:tc>
          <w:tcPr>
            <w:tcW w:type="dxa" w:w="5112"/>
            <w:tcMar>
              <w:top w:w="80" w:type="dxa"/>
              <w:start w:w="100" w:type="dxa"/>
              <w:bottom w:w="80" w:type="dxa"/>
              <w:end w:w="100" w:type="dxa"/>
            </w:tcMar>
            <w:vAlign w:val="center"/>
          </w:tcPr>
          <w:p>
            <w:pPr>
              <w:spacing w:after="0" w:line="240" w:lineRule="auto"/>
            </w:pPr>
            <w:r>
              <w:rPr>
                <w:rFonts w:ascii="Aptos" w:hAnsi="Aptos"/>
                <w:b/>
                <w:color w:val="0C492B"/>
                <w:sz w:val="18"/>
              </w:rPr>
              <w:t>Power Query</w:t>
            </w:r>
          </w:p>
        </w:tc>
        <w:tc>
          <w:tcPr>
            <w:tcW w:type="dxa" w:w="5112"/>
            <w:tcMar>
              <w:top w:w="80" w:type="dxa"/>
              <w:start w:w="100" w:type="dxa"/>
              <w:bottom w:w="80" w:type="dxa"/>
              <w:end w:w="100" w:type="dxa"/>
            </w:tcMar>
            <w:vAlign w:val="center"/>
          </w:tcPr>
          <w:p>
            <w:pPr>
              <w:spacing w:after="0" w:line="240" w:lineRule="auto"/>
            </w:pPr>
            <w:r>
              <w:rPr>
                <w:rFonts w:ascii="Aptos" w:hAnsi="Aptos"/>
                <w:color w:val="555555"/>
                <w:sz w:val="18"/>
              </w:rPr>
              <w:t>ETL and data transformation</w:t>
            </w:r>
          </w:p>
        </w:tc>
      </w:tr>
      <w:tr>
        <w:tc>
          <w:tcPr>
            <w:tcW w:type="dxa" w:w="5112"/>
            <w:tcMar>
              <w:top w:w="80" w:type="dxa"/>
              <w:start w:w="100" w:type="dxa"/>
              <w:bottom w:w="80" w:type="dxa"/>
              <w:end w:w="100" w:type="dxa"/>
            </w:tcMar>
            <w:vAlign w:val="center"/>
            <w:shd w:fill="F5FAF4"/>
          </w:tcPr>
          <w:p>
            <w:pPr>
              <w:spacing w:after="0" w:line="240" w:lineRule="auto"/>
            </w:pPr>
            <w:r>
              <w:rPr>
                <w:rFonts w:ascii="Aptos" w:hAnsi="Aptos"/>
                <w:b/>
                <w:color w:val="0C492B"/>
                <w:sz w:val="18"/>
              </w:rPr>
              <w:t>Power BI Desktop</w:t>
            </w:r>
          </w:p>
        </w:tc>
        <w:tc>
          <w:tcPr>
            <w:tcW w:type="dxa" w:w="5112"/>
            <w:tcMar>
              <w:top w:w="80" w:type="dxa"/>
              <w:start w:w="100" w:type="dxa"/>
              <w:bottom w:w="80" w:type="dxa"/>
              <w:end w:w="100" w:type="dxa"/>
            </w:tcMar>
            <w:vAlign w:val="center"/>
            <w:shd w:fill="F5FAF4"/>
          </w:tcPr>
          <w:p>
            <w:pPr>
              <w:spacing w:after="0" w:line="240" w:lineRule="auto"/>
            </w:pPr>
            <w:r>
              <w:rPr>
                <w:rFonts w:ascii="Aptos" w:hAnsi="Aptos"/>
                <w:color w:val="555555"/>
                <w:sz w:val="18"/>
              </w:rPr>
              <w:t>Interactive reporting and visualization</w:t>
            </w:r>
          </w:p>
        </w:tc>
      </w:tr>
      <w:tr>
        <w:tc>
          <w:tcPr>
            <w:tcW w:type="dxa" w:w="5112"/>
            <w:tcMar>
              <w:top w:w="80" w:type="dxa"/>
              <w:start w:w="100" w:type="dxa"/>
              <w:bottom w:w="80" w:type="dxa"/>
              <w:end w:w="100" w:type="dxa"/>
            </w:tcMar>
            <w:vAlign w:val="center"/>
          </w:tcPr>
          <w:p>
            <w:pPr>
              <w:spacing w:after="0" w:line="240" w:lineRule="auto"/>
            </w:pPr>
            <w:r>
              <w:rPr>
                <w:rFonts w:ascii="Aptos" w:hAnsi="Aptos"/>
                <w:b/>
                <w:color w:val="0C492B"/>
                <w:sz w:val="18"/>
              </w:rPr>
              <w:t>DAX</w:t>
            </w:r>
          </w:p>
        </w:tc>
        <w:tc>
          <w:tcPr>
            <w:tcW w:type="dxa" w:w="5112"/>
            <w:tcMar>
              <w:top w:w="80" w:type="dxa"/>
              <w:start w:w="100" w:type="dxa"/>
              <w:bottom w:w="80" w:type="dxa"/>
              <w:end w:w="100" w:type="dxa"/>
            </w:tcMar>
            <w:vAlign w:val="center"/>
          </w:tcPr>
          <w:p>
            <w:pPr>
              <w:spacing w:after="0" w:line="240" w:lineRule="auto"/>
            </w:pPr>
            <w:r>
              <w:rPr>
                <w:rFonts w:ascii="Aptos" w:hAnsi="Aptos"/>
                <w:color w:val="555555"/>
                <w:sz w:val="18"/>
              </w:rPr>
              <w:t>KPI and analytical measure calculations</w:t>
            </w:r>
          </w:p>
        </w:tc>
      </w:tr>
      <w:tr>
        <w:tc>
          <w:tcPr>
            <w:tcW w:type="dxa" w:w="5112"/>
            <w:tcMar>
              <w:top w:w="80" w:type="dxa"/>
              <w:start w:w="100" w:type="dxa"/>
              <w:bottom w:w="80" w:type="dxa"/>
              <w:end w:w="100" w:type="dxa"/>
            </w:tcMar>
            <w:vAlign w:val="center"/>
            <w:shd w:fill="F5FAF4"/>
          </w:tcPr>
          <w:p>
            <w:pPr>
              <w:spacing w:after="0" w:line="240" w:lineRule="auto"/>
            </w:pPr>
            <w:r>
              <w:rPr>
                <w:rFonts w:ascii="Aptos" w:hAnsi="Aptos"/>
                <w:b/>
                <w:color w:val="0C492B"/>
                <w:sz w:val="18"/>
              </w:rPr>
              <w:t>GitHub</w:t>
            </w:r>
          </w:p>
        </w:tc>
        <w:tc>
          <w:tcPr>
            <w:tcW w:type="dxa" w:w="5112"/>
            <w:tcMar>
              <w:top w:w="80" w:type="dxa"/>
              <w:start w:w="100" w:type="dxa"/>
              <w:bottom w:w="80" w:type="dxa"/>
              <w:end w:w="100" w:type="dxa"/>
            </w:tcMar>
            <w:vAlign w:val="center"/>
            <w:shd w:fill="F5FAF4"/>
          </w:tcPr>
          <w:p>
            <w:pPr>
              <w:spacing w:after="0" w:line="240" w:lineRule="auto"/>
            </w:pPr>
            <w:r>
              <w:rPr>
                <w:rFonts w:ascii="Aptos" w:hAnsi="Aptos"/>
                <w:color w:val="555555"/>
                <w:sz w:val="18"/>
              </w:rPr>
              <w:t>Version control and portfolio presentation</w:t>
            </w:r>
          </w:p>
        </w:tc>
      </w:tr>
    </w:tbl>
    <w:p>
      <w:pPr>
        <w:pStyle w:val="Heading1"/>
        <w:spacing w:before="200" w:after="120" w:line="240" w:lineRule="auto"/>
      </w:pPr>
      <w:r>
        <w:t>5. Data Model</w:t>
      </w:r>
    </w:p>
    <w:p>
      <w:pPr>
        <w:spacing w:before="0" w:after="120" w:line="259" w:lineRule="auto"/>
      </w:pPr>
      <w:r>
        <w:t>The project uses three principal QuickCart tables:</w:t>
      </w:r>
    </w:p>
    <w:p>
      <w:pPr>
        <w:pStyle w:val="ListBullet"/>
        <w:spacing w:before="0" w:after="60" w:line="240" w:lineRule="auto"/>
      </w:pPr>
      <w:r>
        <w:t>quickcartdb store_orders</w:t>
      </w:r>
    </w:p>
    <w:p>
      <w:pPr>
        <w:pStyle w:val="ListBullet"/>
        <w:spacing w:before="0" w:after="60" w:line="240" w:lineRule="auto"/>
      </w:pPr>
      <w:r>
        <w:t>quickcartdb picker</w:t>
      </w:r>
    </w:p>
    <w:p>
      <w:pPr>
        <w:pStyle w:val="ListBullet"/>
        <w:spacing w:before="0" w:after="60" w:line="240" w:lineRule="auto"/>
      </w:pPr>
      <w:r>
        <w:t>quickcartdb delivery_partner</w:t>
      </w:r>
    </w:p>
    <w:p>
      <w:pPr>
        <w:spacing w:before="0" w:after="120" w:line="259" w:lineRule="auto"/>
      </w:pPr>
      <w:r>
        <w:t>The store-orders data supports order, category, status and revenue analysis. Picker data supports employee productivity, picking time, attendance and income analysis. Delivery-partner data supports delivery workload, delivery time and completion analysis.</w:t>
      </w:r>
    </w:p>
    <w:p>
      <w:pPr>
        <w:pStyle w:val="Heading1"/>
        <w:spacing w:before="200" w:after="120" w:line="240" w:lineRule="auto"/>
      </w:pPr>
      <w:r>
        <w:t>6. Analytical Workflow</w:t>
      </w:r>
    </w:p>
    <w:p>
      <w:pPr>
        <w:spacing w:before="0" w:after="120" w:line="259" w:lineRule="auto"/>
      </w:pPr>
      <w:r>
        <w:t>The project follows an end-to-end BI workflow: source data is stored and analyzed in SQL Server, prepared through ETL, modeled in Power BI, transformed into DAX measures, and presented through five interactive dashboard pages.</w:t>
      </w:r>
    </w:p>
    <w:p>
      <w:pPr>
        <w:spacing w:before="0" w:after="120" w:line="259" w:lineRule="auto"/>
      </w:pPr>
      <w:r>
        <w:t>SQL Server → Power Query → Data Model → DAX → Power BI Visuals → Insights</w:t>
      </w:r>
    </w:p>
    <w:p>
      <w:pPr>
        <w:pStyle w:val="Heading1"/>
        <w:spacing w:before="200" w:after="120" w:line="240" w:lineRule="auto"/>
      </w:pPr>
      <w:r>
        <w:t>7. Dashboard Pages</w:t>
      </w:r>
    </w:p>
    <w:p>
      <w:pPr>
        <w:pStyle w:val="Heading2"/>
        <w:spacing w:before="200" w:after="120" w:line="240" w:lineRule="auto"/>
      </w:pPr>
      <w:r>
        <w:t>7.1 Executive Overview</w:t>
      </w:r>
    </w:p>
    <w:p>
      <w:pPr>
        <w:spacing w:before="0" w:after="120" w:line="259" w:lineRule="auto"/>
      </w:pPr>
      <w:r>
        <w:t>High-level business performance using total orders, revenue, completion rate, average order amount, picking time and delivery time.</w:t>
      </w:r>
    </w:p>
    <w:p>
      <w:pPr>
        <w:spacing w:before="60" w:after="40" w:line="240" w:lineRule="auto"/>
        <w:jc w:val="center"/>
      </w:pPr>
      <w:r>
        <w:drawing>
          <wp:inline xmlns:a="http://schemas.openxmlformats.org/drawingml/2006/main" xmlns:pic="http://schemas.openxmlformats.org/drawingml/2006/picture">
            <wp:extent cx="6080760" cy="3380721"/>
            <wp:docPr id="1" name="Picture 1"/>
            <wp:cNvGraphicFramePr>
              <a:graphicFrameLocks noChangeAspect="1"/>
            </wp:cNvGraphicFramePr>
            <a:graphic>
              <a:graphicData uri="http://schemas.openxmlformats.org/drawingml/2006/picture">
                <pic:pic>
                  <pic:nvPicPr>
                    <pic:cNvPr id="0" name="01_Executive_Overview.png"/>
                    <pic:cNvPicPr/>
                  </pic:nvPicPr>
                  <pic:blipFill>
                    <a:blip r:embed="rId9"/>
                    <a:stretch>
                      <a:fillRect/>
                    </a:stretch>
                  </pic:blipFill>
                  <pic:spPr>
                    <a:xfrm>
                      <a:off x="0" y="0"/>
                      <a:ext cx="6080760" cy="3380721"/>
                    </a:xfrm>
                    <a:prstGeom prst="rect"/>
                  </pic:spPr>
                </pic:pic>
              </a:graphicData>
            </a:graphic>
          </wp:inline>
        </w:drawing>
      </w:r>
    </w:p>
    <w:p>
      <w:pPr>
        <w:spacing w:before="40" w:after="160" w:line="240" w:lineRule="auto"/>
        <w:jc w:val="center"/>
      </w:pPr>
      <w:r>
        <w:rPr>
          <w:rFonts w:ascii="Aptos" w:hAnsi="Aptos"/>
          <w:i/>
          <w:color w:val="555555"/>
          <w:sz w:val="17"/>
        </w:rPr>
        <w:t>Figure: 7.1 Executive Overview</w:t>
      </w:r>
    </w:p>
    <w:p>
      <w:pPr>
        <w:spacing w:before="0" w:after="120" w:line="259" w:lineRule="auto"/>
      </w:pPr>
      <w:r>
        <w:br w:type="page"/>
      </w:r>
    </w:p>
    <w:p>
      <w:pPr>
        <w:pStyle w:val="Heading2"/>
        <w:spacing w:before="200" w:after="120" w:line="240" w:lineRule="auto"/>
      </w:pPr>
      <w:r>
        <w:t>7.2 Order &amp; Sales Analysis</w:t>
      </w:r>
    </w:p>
    <w:p>
      <w:pPr>
        <w:spacing w:before="0" w:after="120" w:line="259" w:lineRule="auto"/>
      </w:pPr>
      <w:r>
        <w:t>Category-level order and revenue analysis with completed and rejected order KPIs, a category performance table and interactive slicers.</w:t>
      </w:r>
    </w:p>
    <w:p>
      <w:pPr>
        <w:spacing w:before="60" w:after="40" w:line="240" w:lineRule="auto"/>
        <w:jc w:val="center"/>
      </w:pPr>
      <w:r>
        <w:drawing>
          <wp:inline xmlns:a="http://schemas.openxmlformats.org/drawingml/2006/main" xmlns:pic="http://schemas.openxmlformats.org/drawingml/2006/picture">
            <wp:extent cx="6080760" cy="3363534"/>
            <wp:docPr id="2" name="Picture 2"/>
            <wp:cNvGraphicFramePr>
              <a:graphicFrameLocks noChangeAspect="1"/>
            </wp:cNvGraphicFramePr>
            <a:graphic>
              <a:graphicData uri="http://schemas.openxmlformats.org/drawingml/2006/picture">
                <pic:pic>
                  <pic:nvPicPr>
                    <pic:cNvPr id="0" name="02_Order_and_Sales_Analysis.png"/>
                    <pic:cNvPicPr/>
                  </pic:nvPicPr>
                  <pic:blipFill>
                    <a:blip r:embed="rId10"/>
                    <a:stretch>
                      <a:fillRect/>
                    </a:stretch>
                  </pic:blipFill>
                  <pic:spPr>
                    <a:xfrm>
                      <a:off x="0" y="0"/>
                      <a:ext cx="6080760" cy="3363534"/>
                    </a:xfrm>
                    <a:prstGeom prst="rect"/>
                  </pic:spPr>
                </pic:pic>
              </a:graphicData>
            </a:graphic>
          </wp:inline>
        </w:drawing>
      </w:r>
    </w:p>
    <w:p>
      <w:pPr>
        <w:spacing w:before="40" w:after="160" w:line="240" w:lineRule="auto"/>
        <w:jc w:val="center"/>
      </w:pPr>
      <w:r>
        <w:rPr>
          <w:rFonts w:ascii="Aptos" w:hAnsi="Aptos"/>
          <w:i/>
          <w:color w:val="555555"/>
          <w:sz w:val="17"/>
        </w:rPr>
        <w:t>Figure: 7.2 Order &amp; Sales Analysis</w:t>
      </w:r>
    </w:p>
    <w:p>
      <w:pPr>
        <w:spacing w:before="0" w:after="120" w:line="259" w:lineRule="auto"/>
      </w:pPr>
      <w:r>
        <w:br w:type="page"/>
      </w:r>
    </w:p>
    <w:p>
      <w:pPr>
        <w:pStyle w:val="Heading2"/>
        <w:spacing w:before="200" w:after="120" w:line="240" w:lineRule="auto"/>
      </w:pPr>
      <w:r>
        <w:t>7.3 Picker Performance</w:t>
      </w:r>
    </w:p>
    <w:p>
      <w:pPr>
        <w:spacing w:before="0" w:after="120" w:line="259" w:lineRule="auto"/>
      </w:pPr>
      <w:r>
        <w:t>Dedicated performance page covering picker workload, active pickers, picking time, attendance, income, orders per picker and employee-level analysis.</w:t>
      </w:r>
    </w:p>
    <w:p>
      <w:pPr>
        <w:spacing w:before="60" w:after="40" w:line="240" w:lineRule="auto"/>
        <w:jc w:val="center"/>
      </w:pPr>
      <w:r>
        <w:drawing>
          <wp:inline xmlns:a="http://schemas.openxmlformats.org/drawingml/2006/main" xmlns:pic="http://schemas.openxmlformats.org/drawingml/2006/picture">
            <wp:extent cx="6080760" cy="3402704"/>
            <wp:docPr id="3" name="Picture 3"/>
            <wp:cNvGraphicFramePr>
              <a:graphicFrameLocks noChangeAspect="1"/>
            </wp:cNvGraphicFramePr>
            <a:graphic>
              <a:graphicData uri="http://schemas.openxmlformats.org/drawingml/2006/picture">
                <pic:pic>
                  <pic:nvPicPr>
                    <pic:cNvPr id="0" name="03_Picker_Performance.png"/>
                    <pic:cNvPicPr/>
                  </pic:nvPicPr>
                  <pic:blipFill>
                    <a:blip r:embed="rId11"/>
                    <a:stretch>
                      <a:fillRect/>
                    </a:stretch>
                  </pic:blipFill>
                  <pic:spPr>
                    <a:xfrm>
                      <a:off x="0" y="0"/>
                      <a:ext cx="6080760" cy="3402704"/>
                    </a:xfrm>
                    <a:prstGeom prst="rect"/>
                  </pic:spPr>
                </pic:pic>
              </a:graphicData>
            </a:graphic>
          </wp:inline>
        </w:drawing>
      </w:r>
    </w:p>
    <w:p>
      <w:pPr>
        <w:spacing w:before="40" w:after="160" w:line="240" w:lineRule="auto"/>
        <w:jc w:val="center"/>
      </w:pPr>
      <w:r>
        <w:rPr>
          <w:rFonts w:ascii="Aptos" w:hAnsi="Aptos"/>
          <w:i/>
          <w:color w:val="555555"/>
          <w:sz w:val="17"/>
        </w:rPr>
        <w:t>Figure: 7.3 Picker Performance</w:t>
      </w:r>
    </w:p>
    <w:p>
      <w:pPr>
        <w:spacing w:before="0" w:after="120" w:line="259" w:lineRule="auto"/>
      </w:pPr>
      <w:r>
        <w:br w:type="page"/>
      </w:r>
    </w:p>
    <w:p>
      <w:pPr>
        <w:pStyle w:val="Heading2"/>
        <w:spacing w:before="200" w:after="120" w:line="240" w:lineRule="auto"/>
      </w:pPr>
      <w:r>
        <w:t>7.4 Delivery Partner Performance</w:t>
      </w:r>
    </w:p>
    <w:p>
      <w:pPr>
        <w:spacing w:before="0" w:after="120" w:line="259" w:lineRule="auto"/>
      </w:pPr>
      <w:r>
        <w:t>Dedicated delivery performance page covering delivery orders, active partners, delivery time, completed delivery orders and completion rate.</w:t>
      </w:r>
    </w:p>
    <w:p>
      <w:pPr>
        <w:spacing w:before="60" w:after="40" w:line="240" w:lineRule="auto"/>
        <w:jc w:val="center"/>
      </w:pPr>
      <w:r>
        <w:drawing>
          <wp:inline xmlns:a="http://schemas.openxmlformats.org/drawingml/2006/main" xmlns:pic="http://schemas.openxmlformats.org/drawingml/2006/picture">
            <wp:extent cx="6080760" cy="3356615"/>
            <wp:docPr id="4" name="Picture 4"/>
            <wp:cNvGraphicFramePr>
              <a:graphicFrameLocks noChangeAspect="1"/>
            </wp:cNvGraphicFramePr>
            <a:graphic>
              <a:graphicData uri="http://schemas.openxmlformats.org/drawingml/2006/picture">
                <pic:pic>
                  <pic:nvPicPr>
                    <pic:cNvPr id="0" name="04_Delivery_Partner_Performance.png"/>
                    <pic:cNvPicPr/>
                  </pic:nvPicPr>
                  <pic:blipFill>
                    <a:blip r:embed="rId12"/>
                    <a:stretch>
                      <a:fillRect/>
                    </a:stretch>
                  </pic:blipFill>
                  <pic:spPr>
                    <a:xfrm>
                      <a:off x="0" y="0"/>
                      <a:ext cx="6080760" cy="3356615"/>
                    </a:xfrm>
                    <a:prstGeom prst="rect"/>
                  </pic:spPr>
                </pic:pic>
              </a:graphicData>
            </a:graphic>
          </wp:inline>
        </w:drawing>
      </w:r>
    </w:p>
    <w:p>
      <w:pPr>
        <w:spacing w:before="40" w:after="160" w:line="240" w:lineRule="auto"/>
        <w:jc w:val="center"/>
      </w:pPr>
      <w:r>
        <w:rPr>
          <w:rFonts w:ascii="Aptos" w:hAnsi="Aptos"/>
          <w:i/>
          <w:color w:val="555555"/>
          <w:sz w:val="17"/>
        </w:rPr>
        <w:t>Figure: 7.4 Delivery Partner Performance</w:t>
      </w:r>
    </w:p>
    <w:p>
      <w:pPr>
        <w:spacing w:before="0" w:after="120" w:line="259" w:lineRule="auto"/>
      </w:pPr>
      <w:r>
        <w:br w:type="page"/>
      </w:r>
    </w:p>
    <w:p>
      <w:pPr>
        <w:pStyle w:val="Heading2"/>
        <w:spacing w:before="200" w:after="120" w:line="240" w:lineRule="auto"/>
      </w:pPr>
      <w:r>
        <w:t>7.5 Operations &amp; Business Insights</w:t>
      </w:r>
    </w:p>
    <w:p>
      <w:pPr>
        <w:spacing w:before="0" w:after="120" w:line="259" w:lineRule="auto"/>
      </w:pPr>
      <w:r>
        <w:t>Management page combining completion, rejection, cancellation, picking, delivery and operational time KPIs with business-insight and recommendation sections.</w:t>
      </w:r>
    </w:p>
    <w:p>
      <w:pPr>
        <w:spacing w:before="60" w:after="40" w:line="240" w:lineRule="auto"/>
        <w:jc w:val="center"/>
      </w:pPr>
      <w:r>
        <w:drawing>
          <wp:inline xmlns:a="http://schemas.openxmlformats.org/drawingml/2006/main" xmlns:pic="http://schemas.openxmlformats.org/drawingml/2006/picture">
            <wp:extent cx="6080760" cy="3351635"/>
            <wp:docPr id="5" name="Picture 5"/>
            <wp:cNvGraphicFramePr>
              <a:graphicFrameLocks noChangeAspect="1"/>
            </wp:cNvGraphicFramePr>
            <a:graphic>
              <a:graphicData uri="http://schemas.openxmlformats.org/drawingml/2006/picture">
                <pic:pic>
                  <pic:nvPicPr>
                    <pic:cNvPr id="0" name="05_Operations_and_Business_Insights.png"/>
                    <pic:cNvPicPr/>
                  </pic:nvPicPr>
                  <pic:blipFill>
                    <a:blip r:embed="rId13"/>
                    <a:stretch>
                      <a:fillRect/>
                    </a:stretch>
                  </pic:blipFill>
                  <pic:spPr>
                    <a:xfrm>
                      <a:off x="0" y="0"/>
                      <a:ext cx="6080760" cy="3351635"/>
                    </a:xfrm>
                    <a:prstGeom prst="rect"/>
                  </pic:spPr>
                </pic:pic>
              </a:graphicData>
            </a:graphic>
          </wp:inline>
        </w:drawing>
      </w:r>
    </w:p>
    <w:p>
      <w:pPr>
        <w:spacing w:before="40" w:after="160" w:line="240" w:lineRule="auto"/>
        <w:jc w:val="center"/>
      </w:pPr>
      <w:r>
        <w:rPr>
          <w:rFonts w:ascii="Aptos" w:hAnsi="Aptos"/>
          <w:i/>
          <w:color w:val="555555"/>
          <w:sz w:val="17"/>
        </w:rPr>
        <w:t>Figure: 7.5 Operations &amp; Business Insights</w:t>
      </w:r>
    </w:p>
    <w:p>
      <w:pPr>
        <w:spacing w:before="0" w:after="120" w:line="259" w:lineRule="auto"/>
      </w:pPr>
      <w:r>
        <w:br w:type="page"/>
      </w:r>
    </w:p>
    <w:p>
      <w:pPr>
        <w:pStyle w:val="Heading1"/>
        <w:spacing w:before="200" w:after="120" w:line="240" w:lineRule="auto"/>
      </w:pPr>
      <w:r>
        <w:t>8. KPI Definitions</w:t>
      </w:r>
    </w:p>
    <w:tbl>
      <w:tblPr>
        <w:tblStyle w:val="TableGrid"/>
        <w:tblW w:type="auto" w:w="0"/>
        <w:jc w:val="center"/>
        <w:tblLayout w:type="autofit"/>
        <w:tblLook w:firstColumn="1" w:firstRow="1" w:lastColumn="0" w:lastRow="0" w:noHBand="0" w:noVBand="1" w:val="04A0"/>
        <w:tblBorders>
          <w:top w:val="single" w:sz="6" w:space="0" w:color="C8DCCB"/>
          <w:left w:val="single" w:sz="6" w:space="0" w:color="C8DCCB"/>
          <w:bottom w:val="single" w:sz="6" w:space="0" w:color="C8DCCB"/>
          <w:right w:val="single" w:sz="6" w:space="0" w:color="C8DCCB"/>
          <w:insideH w:val="single" w:sz="6" w:space="0" w:color="C8DCCB"/>
          <w:insideV w:val="single" w:sz="6" w:space="0" w:color="C8DCCB"/>
        </w:tblBorders>
      </w:tblPr>
      <w:tblGrid>
        <w:gridCol w:w="5112"/>
        <w:gridCol w:w="5112"/>
      </w:tblGrid>
      <w:tr>
        <w:trPr>
          <w:tblHeader w:val="true"/>
        </w:trPr>
        <w:tc>
          <w:tcPr>
            <w:tcW w:type="dxa" w:w="5112"/>
            <w:shd w:fill="0C492B"/>
            <w:tcMar>
              <w:top w:w="80" w:type="dxa"/>
              <w:start w:w="100" w:type="dxa"/>
              <w:bottom w:w="80" w:type="dxa"/>
              <w:end w:w="100" w:type="dxa"/>
            </w:tcMar>
            <w:vAlign w:val="center"/>
          </w:tcPr>
          <w:p>
            <w:pPr>
              <w:jc w:val="center"/>
            </w:pPr>
            <w:r>
              <w:rPr>
                <w:rFonts w:ascii="Aptos" w:hAnsi="Aptos"/>
                <w:b/>
                <w:color w:val="FFFFFF"/>
                <w:sz w:val="19"/>
              </w:rPr>
              <w:t>KPI</w:t>
            </w:r>
          </w:p>
        </w:tc>
        <w:tc>
          <w:tcPr>
            <w:tcW w:type="dxa" w:w="5112"/>
            <w:shd w:fill="0C492B"/>
            <w:tcMar>
              <w:top w:w="80" w:type="dxa"/>
              <w:start w:w="100" w:type="dxa"/>
              <w:bottom w:w="80" w:type="dxa"/>
              <w:end w:w="100" w:type="dxa"/>
            </w:tcMar>
            <w:vAlign w:val="center"/>
          </w:tcPr>
          <w:p>
            <w:pPr>
              <w:jc w:val="center"/>
            </w:pPr>
            <w:r>
              <w:rPr>
                <w:rFonts w:ascii="Aptos" w:hAnsi="Aptos"/>
                <w:b/>
                <w:color w:val="FFFFFF"/>
                <w:sz w:val="19"/>
              </w:rPr>
              <w:t>Definition</w:t>
            </w:r>
          </w:p>
        </w:tc>
      </w:tr>
      <w:tr>
        <w:tc>
          <w:tcPr>
            <w:tcW w:type="dxa" w:w="5112"/>
            <w:tcMar>
              <w:top w:w="80" w:type="dxa"/>
              <w:start w:w="100" w:type="dxa"/>
              <w:bottom w:w="80" w:type="dxa"/>
              <w:end w:w="100" w:type="dxa"/>
            </w:tcMar>
            <w:vAlign w:val="center"/>
          </w:tcPr>
          <w:p>
            <w:pPr>
              <w:spacing w:after="0" w:line="240" w:lineRule="auto"/>
            </w:pPr>
            <w:r>
              <w:rPr>
                <w:rFonts w:ascii="Aptos" w:hAnsi="Aptos"/>
                <w:b/>
                <w:color w:val="0C492B"/>
                <w:sz w:val="18"/>
              </w:rPr>
              <w:t>Total Orders</w:t>
            </w:r>
          </w:p>
        </w:tc>
        <w:tc>
          <w:tcPr>
            <w:tcW w:type="dxa" w:w="5112"/>
            <w:tcMar>
              <w:top w:w="80" w:type="dxa"/>
              <w:start w:w="100" w:type="dxa"/>
              <w:bottom w:w="80" w:type="dxa"/>
              <w:end w:w="100" w:type="dxa"/>
            </w:tcMar>
            <w:vAlign w:val="center"/>
          </w:tcPr>
          <w:p>
            <w:pPr>
              <w:spacing w:after="0" w:line="240" w:lineRule="auto"/>
            </w:pPr>
            <w:r>
              <w:rPr>
                <w:rFonts w:ascii="Aptos" w:hAnsi="Aptos"/>
                <w:color w:val="555555"/>
                <w:sz w:val="18"/>
              </w:rPr>
              <w:t>Total number of orders in the model.</w:t>
            </w:r>
          </w:p>
        </w:tc>
      </w:tr>
      <w:tr>
        <w:tc>
          <w:tcPr>
            <w:tcW w:type="dxa" w:w="5112"/>
            <w:tcMar>
              <w:top w:w="80" w:type="dxa"/>
              <w:start w:w="100" w:type="dxa"/>
              <w:bottom w:w="80" w:type="dxa"/>
              <w:end w:w="100" w:type="dxa"/>
            </w:tcMar>
            <w:vAlign w:val="center"/>
            <w:shd w:fill="F5FAF4"/>
          </w:tcPr>
          <w:p>
            <w:pPr>
              <w:spacing w:after="0" w:line="240" w:lineRule="auto"/>
            </w:pPr>
            <w:r>
              <w:rPr>
                <w:rFonts w:ascii="Aptos" w:hAnsi="Aptos"/>
                <w:b/>
                <w:color w:val="0C492B"/>
                <w:sz w:val="18"/>
              </w:rPr>
              <w:t>Total Revenue</w:t>
            </w:r>
          </w:p>
        </w:tc>
        <w:tc>
          <w:tcPr>
            <w:tcW w:type="dxa" w:w="5112"/>
            <w:tcMar>
              <w:top w:w="80" w:type="dxa"/>
              <w:start w:w="100" w:type="dxa"/>
              <w:bottom w:w="80" w:type="dxa"/>
              <w:end w:w="100" w:type="dxa"/>
            </w:tcMar>
            <w:vAlign w:val="center"/>
            <w:shd w:fill="F5FAF4"/>
          </w:tcPr>
          <w:p>
            <w:pPr>
              <w:spacing w:after="0" w:line="240" w:lineRule="auto"/>
            </w:pPr>
            <w:r>
              <w:rPr>
                <w:rFonts w:ascii="Aptos" w:hAnsi="Aptos"/>
                <w:color w:val="555555"/>
                <w:sz w:val="18"/>
              </w:rPr>
              <w:t>Revenue generated across orders.</w:t>
            </w:r>
          </w:p>
        </w:tc>
      </w:tr>
      <w:tr>
        <w:tc>
          <w:tcPr>
            <w:tcW w:type="dxa" w:w="5112"/>
            <w:tcMar>
              <w:top w:w="80" w:type="dxa"/>
              <w:start w:w="100" w:type="dxa"/>
              <w:bottom w:w="80" w:type="dxa"/>
              <w:end w:w="100" w:type="dxa"/>
            </w:tcMar>
            <w:vAlign w:val="center"/>
          </w:tcPr>
          <w:p>
            <w:pPr>
              <w:spacing w:after="0" w:line="240" w:lineRule="auto"/>
            </w:pPr>
            <w:r>
              <w:rPr>
                <w:rFonts w:ascii="Aptos" w:hAnsi="Aptos"/>
                <w:b/>
                <w:color w:val="0C492B"/>
                <w:sz w:val="18"/>
              </w:rPr>
              <w:t>Average Order Amount</w:t>
            </w:r>
          </w:p>
        </w:tc>
        <w:tc>
          <w:tcPr>
            <w:tcW w:type="dxa" w:w="5112"/>
            <w:tcMar>
              <w:top w:w="80" w:type="dxa"/>
              <w:start w:w="100" w:type="dxa"/>
              <w:bottom w:w="80" w:type="dxa"/>
              <w:end w:w="100" w:type="dxa"/>
            </w:tcMar>
            <w:vAlign w:val="center"/>
          </w:tcPr>
          <w:p>
            <w:pPr>
              <w:spacing w:after="0" w:line="240" w:lineRule="auto"/>
            </w:pPr>
            <w:r>
              <w:rPr>
                <w:rFonts w:ascii="Aptos" w:hAnsi="Aptos"/>
                <w:color w:val="555555"/>
                <w:sz w:val="18"/>
              </w:rPr>
              <w:t>Average order value.</w:t>
            </w:r>
          </w:p>
        </w:tc>
      </w:tr>
      <w:tr>
        <w:tc>
          <w:tcPr>
            <w:tcW w:type="dxa" w:w="5112"/>
            <w:tcMar>
              <w:top w:w="80" w:type="dxa"/>
              <w:start w:w="100" w:type="dxa"/>
              <w:bottom w:w="80" w:type="dxa"/>
              <w:end w:w="100" w:type="dxa"/>
            </w:tcMar>
            <w:vAlign w:val="center"/>
            <w:shd w:fill="F5FAF4"/>
          </w:tcPr>
          <w:p>
            <w:pPr>
              <w:spacing w:after="0" w:line="240" w:lineRule="auto"/>
            </w:pPr>
            <w:r>
              <w:rPr>
                <w:rFonts w:ascii="Aptos" w:hAnsi="Aptos"/>
                <w:b/>
                <w:color w:val="0C492B"/>
                <w:sz w:val="18"/>
              </w:rPr>
              <w:t>Completion Rate</w:t>
            </w:r>
          </w:p>
        </w:tc>
        <w:tc>
          <w:tcPr>
            <w:tcW w:type="dxa" w:w="5112"/>
            <w:tcMar>
              <w:top w:w="80" w:type="dxa"/>
              <w:start w:w="100" w:type="dxa"/>
              <w:bottom w:w="80" w:type="dxa"/>
              <w:end w:w="100" w:type="dxa"/>
            </w:tcMar>
            <w:vAlign w:val="center"/>
            <w:shd w:fill="F5FAF4"/>
          </w:tcPr>
          <w:p>
            <w:pPr>
              <w:spacing w:after="0" w:line="240" w:lineRule="auto"/>
            </w:pPr>
            <w:r>
              <w:rPr>
                <w:rFonts w:ascii="Aptos" w:hAnsi="Aptos"/>
                <w:color w:val="555555"/>
                <w:sz w:val="18"/>
              </w:rPr>
              <w:t>Completed orders relative to total orders.</w:t>
            </w:r>
          </w:p>
        </w:tc>
      </w:tr>
      <w:tr>
        <w:tc>
          <w:tcPr>
            <w:tcW w:type="dxa" w:w="5112"/>
            <w:tcMar>
              <w:top w:w="80" w:type="dxa"/>
              <w:start w:w="100" w:type="dxa"/>
              <w:bottom w:w="80" w:type="dxa"/>
              <w:end w:w="100" w:type="dxa"/>
            </w:tcMar>
            <w:vAlign w:val="center"/>
          </w:tcPr>
          <w:p>
            <w:pPr>
              <w:spacing w:after="0" w:line="240" w:lineRule="auto"/>
            </w:pPr>
            <w:r>
              <w:rPr>
                <w:rFonts w:ascii="Aptos" w:hAnsi="Aptos"/>
                <w:b/>
                <w:color w:val="0C492B"/>
                <w:sz w:val="18"/>
              </w:rPr>
              <w:t>Rejection Rate</w:t>
            </w:r>
          </w:p>
        </w:tc>
        <w:tc>
          <w:tcPr>
            <w:tcW w:type="dxa" w:w="5112"/>
            <w:tcMar>
              <w:top w:w="80" w:type="dxa"/>
              <w:start w:w="100" w:type="dxa"/>
              <w:bottom w:w="80" w:type="dxa"/>
              <w:end w:w="100" w:type="dxa"/>
            </w:tcMar>
            <w:vAlign w:val="center"/>
          </w:tcPr>
          <w:p>
            <w:pPr>
              <w:spacing w:after="0" w:line="240" w:lineRule="auto"/>
            </w:pPr>
            <w:r>
              <w:rPr>
                <w:rFonts w:ascii="Aptos" w:hAnsi="Aptos"/>
                <w:color w:val="555555"/>
                <w:sz w:val="18"/>
              </w:rPr>
              <w:t>Rejected orders relative to total orders.</w:t>
            </w:r>
          </w:p>
        </w:tc>
      </w:tr>
      <w:tr>
        <w:tc>
          <w:tcPr>
            <w:tcW w:type="dxa" w:w="5112"/>
            <w:tcMar>
              <w:top w:w="80" w:type="dxa"/>
              <w:start w:w="100" w:type="dxa"/>
              <w:bottom w:w="80" w:type="dxa"/>
              <w:end w:w="100" w:type="dxa"/>
            </w:tcMar>
            <w:vAlign w:val="center"/>
            <w:shd w:fill="F5FAF4"/>
          </w:tcPr>
          <w:p>
            <w:pPr>
              <w:spacing w:after="0" w:line="240" w:lineRule="auto"/>
            </w:pPr>
            <w:r>
              <w:rPr>
                <w:rFonts w:ascii="Aptos" w:hAnsi="Aptos"/>
                <w:b/>
                <w:color w:val="0C492B"/>
                <w:sz w:val="18"/>
              </w:rPr>
              <w:t>Cancellation Rate</w:t>
            </w:r>
          </w:p>
        </w:tc>
        <w:tc>
          <w:tcPr>
            <w:tcW w:type="dxa" w:w="5112"/>
            <w:tcMar>
              <w:top w:w="80" w:type="dxa"/>
              <w:start w:w="100" w:type="dxa"/>
              <w:bottom w:w="80" w:type="dxa"/>
              <w:end w:w="100" w:type="dxa"/>
            </w:tcMar>
            <w:vAlign w:val="center"/>
            <w:shd w:fill="F5FAF4"/>
          </w:tcPr>
          <w:p>
            <w:pPr>
              <w:spacing w:after="0" w:line="240" w:lineRule="auto"/>
            </w:pPr>
            <w:r>
              <w:rPr>
                <w:rFonts w:ascii="Aptos" w:hAnsi="Aptos"/>
                <w:color w:val="555555"/>
                <w:sz w:val="18"/>
              </w:rPr>
              <w:t>Cancelled orders relative to total orders.</w:t>
            </w:r>
          </w:p>
        </w:tc>
      </w:tr>
      <w:tr>
        <w:tc>
          <w:tcPr>
            <w:tcW w:type="dxa" w:w="5112"/>
            <w:tcMar>
              <w:top w:w="80" w:type="dxa"/>
              <w:start w:w="100" w:type="dxa"/>
              <w:bottom w:w="80" w:type="dxa"/>
              <w:end w:w="100" w:type="dxa"/>
            </w:tcMar>
            <w:vAlign w:val="center"/>
          </w:tcPr>
          <w:p>
            <w:pPr>
              <w:spacing w:after="0" w:line="240" w:lineRule="auto"/>
            </w:pPr>
            <w:r>
              <w:rPr>
                <w:rFonts w:ascii="Aptos" w:hAnsi="Aptos"/>
                <w:b/>
                <w:color w:val="0C492B"/>
                <w:sz w:val="18"/>
              </w:rPr>
              <w:t>Average Picking Time</w:t>
            </w:r>
          </w:p>
        </w:tc>
        <w:tc>
          <w:tcPr>
            <w:tcW w:type="dxa" w:w="5112"/>
            <w:tcMar>
              <w:top w:w="80" w:type="dxa"/>
              <w:start w:w="100" w:type="dxa"/>
              <w:bottom w:w="80" w:type="dxa"/>
              <w:end w:w="100" w:type="dxa"/>
            </w:tcMar>
            <w:vAlign w:val="center"/>
          </w:tcPr>
          <w:p>
            <w:pPr>
              <w:spacing w:after="0" w:line="240" w:lineRule="auto"/>
            </w:pPr>
            <w:r>
              <w:rPr>
                <w:rFonts w:ascii="Aptos" w:hAnsi="Aptos"/>
                <w:color w:val="555555"/>
                <w:sz w:val="18"/>
              </w:rPr>
              <w:t>Average time used by pickers.</w:t>
            </w:r>
          </w:p>
        </w:tc>
      </w:tr>
      <w:tr>
        <w:tc>
          <w:tcPr>
            <w:tcW w:type="dxa" w:w="5112"/>
            <w:tcMar>
              <w:top w:w="80" w:type="dxa"/>
              <w:start w:w="100" w:type="dxa"/>
              <w:bottom w:w="80" w:type="dxa"/>
              <w:end w:w="100" w:type="dxa"/>
            </w:tcMar>
            <w:vAlign w:val="center"/>
            <w:shd w:fill="F5FAF4"/>
          </w:tcPr>
          <w:p>
            <w:pPr>
              <w:spacing w:after="0" w:line="240" w:lineRule="auto"/>
            </w:pPr>
            <w:r>
              <w:rPr>
                <w:rFonts w:ascii="Aptos" w:hAnsi="Aptos"/>
                <w:b/>
                <w:color w:val="0C492B"/>
                <w:sz w:val="18"/>
              </w:rPr>
              <w:t>Average Delivery Time</w:t>
            </w:r>
          </w:p>
        </w:tc>
        <w:tc>
          <w:tcPr>
            <w:tcW w:type="dxa" w:w="5112"/>
            <w:tcMar>
              <w:top w:w="80" w:type="dxa"/>
              <w:start w:w="100" w:type="dxa"/>
              <w:bottom w:w="80" w:type="dxa"/>
              <w:end w:w="100" w:type="dxa"/>
            </w:tcMar>
            <w:vAlign w:val="center"/>
            <w:shd w:fill="F5FAF4"/>
          </w:tcPr>
          <w:p>
            <w:pPr>
              <w:spacing w:after="0" w:line="240" w:lineRule="auto"/>
            </w:pPr>
            <w:r>
              <w:rPr>
                <w:rFonts w:ascii="Aptos" w:hAnsi="Aptos"/>
                <w:color w:val="555555"/>
                <w:sz w:val="18"/>
              </w:rPr>
              <w:t>Average delivery duration.</w:t>
            </w:r>
          </w:p>
        </w:tc>
      </w:tr>
      <w:tr>
        <w:tc>
          <w:tcPr>
            <w:tcW w:type="dxa" w:w="5112"/>
            <w:tcMar>
              <w:top w:w="80" w:type="dxa"/>
              <w:start w:w="100" w:type="dxa"/>
              <w:bottom w:w="80" w:type="dxa"/>
              <w:end w:w="100" w:type="dxa"/>
            </w:tcMar>
            <w:vAlign w:val="center"/>
          </w:tcPr>
          <w:p>
            <w:pPr>
              <w:spacing w:after="0" w:line="240" w:lineRule="auto"/>
            </w:pPr>
            <w:r>
              <w:rPr>
                <w:rFonts w:ascii="Aptos" w:hAnsi="Aptos"/>
                <w:b/>
                <w:color w:val="0C492B"/>
                <w:sz w:val="18"/>
              </w:rPr>
              <w:t>Average Operational Time</w:t>
            </w:r>
          </w:p>
        </w:tc>
        <w:tc>
          <w:tcPr>
            <w:tcW w:type="dxa" w:w="5112"/>
            <w:tcMar>
              <w:top w:w="80" w:type="dxa"/>
              <w:start w:w="100" w:type="dxa"/>
              <w:bottom w:w="80" w:type="dxa"/>
              <w:end w:w="100" w:type="dxa"/>
            </w:tcMar>
            <w:vAlign w:val="center"/>
          </w:tcPr>
          <w:p>
            <w:pPr>
              <w:spacing w:after="0" w:line="240" w:lineRule="auto"/>
            </w:pPr>
            <w:r>
              <w:rPr>
                <w:rFonts w:ascii="Aptos" w:hAnsi="Aptos"/>
                <w:color w:val="555555"/>
                <w:sz w:val="18"/>
              </w:rPr>
              <w:t>Operational duration combining picking and delivery measures.</w:t>
            </w:r>
          </w:p>
        </w:tc>
      </w:tr>
      <w:tr>
        <w:tc>
          <w:tcPr>
            <w:tcW w:type="dxa" w:w="5112"/>
            <w:tcMar>
              <w:top w:w="80" w:type="dxa"/>
              <w:start w:w="100" w:type="dxa"/>
              <w:bottom w:w="80" w:type="dxa"/>
              <w:end w:w="100" w:type="dxa"/>
            </w:tcMar>
            <w:vAlign w:val="center"/>
            <w:shd w:fill="F5FAF4"/>
          </w:tcPr>
          <w:p>
            <w:pPr>
              <w:spacing w:after="0" w:line="240" w:lineRule="auto"/>
            </w:pPr>
            <w:r>
              <w:rPr>
                <w:rFonts w:ascii="Aptos" w:hAnsi="Aptos"/>
                <w:b/>
                <w:color w:val="0C492B"/>
                <w:sz w:val="18"/>
              </w:rPr>
              <w:t>Picker Orders</w:t>
            </w:r>
          </w:p>
        </w:tc>
        <w:tc>
          <w:tcPr>
            <w:tcW w:type="dxa" w:w="5112"/>
            <w:tcMar>
              <w:top w:w="80" w:type="dxa"/>
              <w:start w:w="100" w:type="dxa"/>
              <w:bottom w:w="80" w:type="dxa"/>
              <w:end w:w="100" w:type="dxa"/>
            </w:tcMar>
            <w:vAlign w:val="center"/>
            <w:shd w:fill="F5FAF4"/>
          </w:tcPr>
          <w:p>
            <w:pPr>
              <w:spacing w:after="0" w:line="240" w:lineRule="auto"/>
            </w:pPr>
            <w:r>
              <w:rPr>
                <w:rFonts w:ascii="Aptos" w:hAnsi="Aptos"/>
                <w:color w:val="555555"/>
                <w:sz w:val="18"/>
              </w:rPr>
              <w:t>Orders handled by pickers.</w:t>
            </w:r>
          </w:p>
        </w:tc>
      </w:tr>
      <w:tr>
        <w:tc>
          <w:tcPr>
            <w:tcW w:type="dxa" w:w="5112"/>
            <w:tcMar>
              <w:top w:w="80" w:type="dxa"/>
              <w:start w:w="100" w:type="dxa"/>
              <w:bottom w:w="80" w:type="dxa"/>
              <w:end w:w="100" w:type="dxa"/>
            </w:tcMar>
            <w:vAlign w:val="center"/>
          </w:tcPr>
          <w:p>
            <w:pPr>
              <w:spacing w:after="0" w:line="240" w:lineRule="auto"/>
            </w:pPr>
            <w:r>
              <w:rPr>
                <w:rFonts w:ascii="Aptos" w:hAnsi="Aptos"/>
                <w:b/>
                <w:color w:val="0C492B"/>
                <w:sz w:val="18"/>
              </w:rPr>
              <w:t>Active Pickers</w:t>
            </w:r>
          </w:p>
        </w:tc>
        <w:tc>
          <w:tcPr>
            <w:tcW w:type="dxa" w:w="5112"/>
            <w:tcMar>
              <w:top w:w="80" w:type="dxa"/>
              <w:start w:w="100" w:type="dxa"/>
              <w:bottom w:w="80" w:type="dxa"/>
              <w:end w:w="100" w:type="dxa"/>
            </w:tcMar>
            <w:vAlign w:val="center"/>
          </w:tcPr>
          <w:p>
            <w:pPr>
              <w:spacing w:after="0" w:line="240" w:lineRule="auto"/>
            </w:pPr>
            <w:r>
              <w:rPr>
                <w:rFonts w:ascii="Aptos" w:hAnsi="Aptos"/>
                <w:color w:val="555555"/>
                <w:sz w:val="18"/>
              </w:rPr>
              <w:t>Number of active pickers.</w:t>
            </w:r>
          </w:p>
        </w:tc>
      </w:tr>
      <w:tr>
        <w:tc>
          <w:tcPr>
            <w:tcW w:type="dxa" w:w="5112"/>
            <w:tcMar>
              <w:top w:w="80" w:type="dxa"/>
              <w:start w:w="100" w:type="dxa"/>
              <w:bottom w:w="80" w:type="dxa"/>
              <w:end w:w="100" w:type="dxa"/>
            </w:tcMar>
            <w:vAlign w:val="center"/>
            <w:shd w:fill="F5FAF4"/>
          </w:tcPr>
          <w:p>
            <w:pPr>
              <w:spacing w:after="0" w:line="240" w:lineRule="auto"/>
            </w:pPr>
            <w:r>
              <w:rPr>
                <w:rFonts w:ascii="Aptos" w:hAnsi="Aptos"/>
                <w:b/>
                <w:color w:val="0C492B"/>
                <w:sz w:val="18"/>
              </w:rPr>
              <w:t>Average Picker Attendance</w:t>
            </w:r>
          </w:p>
        </w:tc>
        <w:tc>
          <w:tcPr>
            <w:tcW w:type="dxa" w:w="5112"/>
            <w:tcMar>
              <w:top w:w="80" w:type="dxa"/>
              <w:start w:w="100" w:type="dxa"/>
              <w:bottom w:w="80" w:type="dxa"/>
              <w:end w:w="100" w:type="dxa"/>
            </w:tcMar>
            <w:vAlign w:val="center"/>
            <w:shd w:fill="F5FAF4"/>
          </w:tcPr>
          <w:p>
            <w:pPr>
              <w:spacing w:after="0" w:line="240" w:lineRule="auto"/>
            </w:pPr>
            <w:r>
              <w:rPr>
                <w:rFonts w:ascii="Aptos" w:hAnsi="Aptos"/>
                <w:color w:val="555555"/>
                <w:sz w:val="18"/>
              </w:rPr>
              <w:t>Average picker attendance measure.</w:t>
            </w:r>
          </w:p>
        </w:tc>
      </w:tr>
      <w:tr>
        <w:tc>
          <w:tcPr>
            <w:tcW w:type="dxa" w:w="5112"/>
            <w:tcMar>
              <w:top w:w="80" w:type="dxa"/>
              <w:start w:w="100" w:type="dxa"/>
              <w:bottom w:w="80" w:type="dxa"/>
              <w:end w:w="100" w:type="dxa"/>
            </w:tcMar>
            <w:vAlign w:val="center"/>
          </w:tcPr>
          <w:p>
            <w:pPr>
              <w:spacing w:after="0" w:line="240" w:lineRule="auto"/>
            </w:pPr>
            <w:r>
              <w:rPr>
                <w:rFonts w:ascii="Aptos" w:hAnsi="Aptos"/>
                <w:b/>
                <w:color w:val="0C492B"/>
                <w:sz w:val="18"/>
              </w:rPr>
              <w:t>Total Picker Income</w:t>
            </w:r>
          </w:p>
        </w:tc>
        <w:tc>
          <w:tcPr>
            <w:tcW w:type="dxa" w:w="5112"/>
            <w:tcMar>
              <w:top w:w="80" w:type="dxa"/>
              <w:start w:w="100" w:type="dxa"/>
              <w:bottom w:w="80" w:type="dxa"/>
              <w:end w:w="100" w:type="dxa"/>
            </w:tcMar>
            <w:vAlign w:val="center"/>
          </w:tcPr>
          <w:p>
            <w:pPr>
              <w:spacing w:after="0" w:line="240" w:lineRule="auto"/>
            </w:pPr>
            <w:r>
              <w:rPr>
                <w:rFonts w:ascii="Aptos" w:hAnsi="Aptos"/>
                <w:color w:val="555555"/>
                <w:sz w:val="18"/>
              </w:rPr>
              <w:t>Total picker income.</w:t>
            </w:r>
          </w:p>
        </w:tc>
      </w:tr>
      <w:tr>
        <w:tc>
          <w:tcPr>
            <w:tcW w:type="dxa" w:w="5112"/>
            <w:tcMar>
              <w:top w:w="80" w:type="dxa"/>
              <w:start w:w="100" w:type="dxa"/>
              <w:bottom w:w="80" w:type="dxa"/>
              <w:end w:w="100" w:type="dxa"/>
            </w:tcMar>
            <w:vAlign w:val="center"/>
            <w:shd w:fill="F5FAF4"/>
          </w:tcPr>
          <w:p>
            <w:pPr>
              <w:spacing w:after="0" w:line="240" w:lineRule="auto"/>
            </w:pPr>
            <w:r>
              <w:rPr>
                <w:rFonts w:ascii="Aptos" w:hAnsi="Aptos"/>
                <w:b/>
                <w:color w:val="0C492B"/>
                <w:sz w:val="18"/>
              </w:rPr>
              <w:t>Orders per Picker</w:t>
            </w:r>
          </w:p>
        </w:tc>
        <w:tc>
          <w:tcPr>
            <w:tcW w:type="dxa" w:w="5112"/>
            <w:tcMar>
              <w:top w:w="80" w:type="dxa"/>
              <w:start w:w="100" w:type="dxa"/>
              <w:bottom w:w="80" w:type="dxa"/>
              <w:end w:w="100" w:type="dxa"/>
            </w:tcMar>
            <w:vAlign w:val="center"/>
            <w:shd w:fill="F5FAF4"/>
          </w:tcPr>
          <w:p>
            <w:pPr>
              <w:spacing w:after="0" w:line="240" w:lineRule="auto"/>
            </w:pPr>
            <w:r>
              <w:rPr>
                <w:rFonts w:ascii="Aptos" w:hAnsi="Aptos"/>
                <w:color w:val="555555"/>
                <w:sz w:val="18"/>
              </w:rPr>
              <w:t>Picker workload measure.</w:t>
            </w:r>
          </w:p>
        </w:tc>
      </w:tr>
      <w:tr>
        <w:tc>
          <w:tcPr>
            <w:tcW w:type="dxa" w:w="5112"/>
            <w:tcMar>
              <w:top w:w="80" w:type="dxa"/>
              <w:start w:w="100" w:type="dxa"/>
              <w:bottom w:w="80" w:type="dxa"/>
              <w:end w:w="100" w:type="dxa"/>
            </w:tcMar>
            <w:vAlign w:val="center"/>
          </w:tcPr>
          <w:p>
            <w:pPr>
              <w:spacing w:after="0" w:line="240" w:lineRule="auto"/>
            </w:pPr>
            <w:r>
              <w:rPr>
                <w:rFonts w:ascii="Aptos" w:hAnsi="Aptos"/>
                <w:b/>
                <w:color w:val="0C492B"/>
                <w:sz w:val="18"/>
              </w:rPr>
              <w:t>Delivery Orders</w:t>
            </w:r>
          </w:p>
        </w:tc>
        <w:tc>
          <w:tcPr>
            <w:tcW w:type="dxa" w:w="5112"/>
            <w:tcMar>
              <w:top w:w="80" w:type="dxa"/>
              <w:start w:w="100" w:type="dxa"/>
              <w:bottom w:w="80" w:type="dxa"/>
              <w:end w:w="100" w:type="dxa"/>
            </w:tcMar>
            <w:vAlign w:val="center"/>
          </w:tcPr>
          <w:p>
            <w:pPr>
              <w:spacing w:after="0" w:line="240" w:lineRule="auto"/>
            </w:pPr>
            <w:r>
              <w:rPr>
                <w:rFonts w:ascii="Aptos" w:hAnsi="Aptos"/>
                <w:color w:val="555555"/>
                <w:sz w:val="18"/>
              </w:rPr>
              <w:t>Orders handled by delivery partners.</w:t>
            </w:r>
          </w:p>
        </w:tc>
      </w:tr>
      <w:tr>
        <w:tc>
          <w:tcPr>
            <w:tcW w:type="dxa" w:w="5112"/>
            <w:tcMar>
              <w:top w:w="80" w:type="dxa"/>
              <w:start w:w="100" w:type="dxa"/>
              <w:bottom w:w="80" w:type="dxa"/>
              <w:end w:w="100" w:type="dxa"/>
            </w:tcMar>
            <w:vAlign w:val="center"/>
            <w:shd w:fill="F5FAF4"/>
          </w:tcPr>
          <w:p>
            <w:pPr>
              <w:spacing w:after="0" w:line="240" w:lineRule="auto"/>
            </w:pPr>
            <w:r>
              <w:rPr>
                <w:rFonts w:ascii="Aptos" w:hAnsi="Aptos"/>
                <w:b/>
                <w:color w:val="0C492B"/>
                <w:sz w:val="18"/>
              </w:rPr>
              <w:t>Active Delivery Partners</w:t>
            </w:r>
          </w:p>
        </w:tc>
        <w:tc>
          <w:tcPr>
            <w:tcW w:type="dxa" w:w="5112"/>
            <w:tcMar>
              <w:top w:w="80" w:type="dxa"/>
              <w:start w:w="100" w:type="dxa"/>
              <w:bottom w:w="80" w:type="dxa"/>
              <w:end w:w="100" w:type="dxa"/>
            </w:tcMar>
            <w:vAlign w:val="center"/>
            <w:shd w:fill="F5FAF4"/>
          </w:tcPr>
          <w:p>
            <w:pPr>
              <w:spacing w:after="0" w:line="240" w:lineRule="auto"/>
            </w:pPr>
            <w:r>
              <w:rPr>
                <w:rFonts w:ascii="Aptos" w:hAnsi="Aptos"/>
                <w:color w:val="555555"/>
                <w:sz w:val="18"/>
              </w:rPr>
              <w:t>Number of active delivery partners.</w:t>
            </w:r>
          </w:p>
        </w:tc>
      </w:tr>
      <w:tr>
        <w:tc>
          <w:tcPr>
            <w:tcW w:type="dxa" w:w="5112"/>
            <w:tcMar>
              <w:top w:w="80" w:type="dxa"/>
              <w:start w:w="100" w:type="dxa"/>
              <w:bottom w:w="80" w:type="dxa"/>
              <w:end w:w="100" w:type="dxa"/>
            </w:tcMar>
            <w:vAlign w:val="center"/>
          </w:tcPr>
          <w:p>
            <w:pPr>
              <w:spacing w:after="0" w:line="240" w:lineRule="auto"/>
            </w:pPr>
            <w:r>
              <w:rPr>
                <w:rFonts w:ascii="Aptos" w:hAnsi="Aptos"/>
                <w:b/>
                <w:color w:val="0C492B"/>
                <w:sz w:val="18"/>
              </w:rPr>
              <w:t>Completed Delivery Orders</w:t>
            </w:r>
          </w:p>
        </w:tc>
        <w:tc>
          <w:tcPr>
            <w:tcW w:type="dxa" w:w="5112"/>
            <w:tcMar>
              <w:top w:w="80" w:type="dxa"/>
              <w:start w:w="100" w:type="dxa"/>
              <w:bottom w:w="80" w:type="dxa"/>
              <w:end w:w="100" w:type="dxa"/>
            </w:tcMar>
            <w:vAlign w:val="center"/>
          </w:tcPr>
          <w:p>
            <w:pPr>
              <w:spacing w:after="0" w:line="240" w:lineRule="auto"/>
            </w:pPr>
            <w:r>
              <w:rPr>
                <w:rFonts w:ascii="Aptos" w:hAnsi="Aptos"/>
                <w:color w:val="555555"/>
                <w:sz w:val="18"/>
              </w:rPr>
              <w:t>Completed delivery workload.</w:t>
            </w:r>
          </w:p>
        </w:tc>
      </w:tr>
      <w:tr>
        <w:tc>
          <w:tcPr>
            <w:tcW w:type="dxa" w:w="5112"/>
            <w:tcMar>
              <w:top w:w="80" w:type="dxa"/>
              <w:start w:w="100" w:type="dxa"/>
              <w:bottom w:w="80" w:type="dxa"/>
              <w:end w:w="100" w:type="dxa"/>
            </w:tcMar>
            <w:vAlign w:val="center"/>
            <w:shd w:fill="F5FAF4"/>
          </w:tcPr>
          <w:p>
            <w:pPr>
              <w:spacing w:after="0" w:line="240" w:lineRule="auto"/>
            </w:pPr>
            <w:r>
              <w:rPr>
                <w:rFonts w:ascii="Aptos" w:hAnsi="Aptos"/>
                <w:b/>
                <w:color w:val="0C492B"/>
                <w:sz w:val="18"/>
              </w:rPr>
              <w:t>Delivery Completion Rate</w:t>
            </w:r>
          </w:p>
        </w:tc>
        <w:tc>
          <w:tcPr>
            <w:tcW w:type="dxa" w:w="5112"/>
            <w:tcMar>
              <w:top w:w="80" w:type="dxa"/>
              <w:start w:w="100" w:type="dxa"/>
              <w:bottom w:w="80" w:type="dxa"/>
              <w:end w:w="100" w:type="dxa"/>
            </w:tcMar>
            <w:vAlign w:val="center"/>
            <w:shd w:fill="F5FAF4"/>
          </w:tcPr>
          <w:p>
            <w:pPr>
              <w:spacing w:after="0" w:line="240" w:lineRule="auto"/>
            </w:pPr>
            <w:r>
              <w:rPr>
                <w:rFonts w:ascii="Aptos" w:hAnsi="Aptos"/>
                <w:color w:val="555555"/>
                <w:sz w:val="18"/>
              </w:rPr>
              <w:t>Delivery completion performance.</w:t>
            </w:r>
          </w:p>
        </w:tc>
      </w:tr>
    </w:tbl>
    <w:p>
      <w:pPr>
        <w:pStyle w:val="Heading1"/>
        <w:spacing w:before="200" w:after="120" w:line="240" w:lineRule="auto"/>
      </w:pPr>
      <w:r>
        <w:t>9. Business Insights &amp; Recommendations</w:t>
      </w:r>
    </w:p>
    <w:p>
      <w:pPr>
        <w:spacing w:before="0" w:after="120" w:line="259" w:lineRule="auto"/>
      </w:pPr>
      <w:r>
        <w:t>The Operations &amp; Business Insights page is intended to convert the dashboard's measured results into management actions. Final insight statements should be derived from the underlying dataset rather than from assumptions. The dashboard supports analysis of category revenue, employee workload, picking efficiency, delivery speed and order-status patterns.</w:t>
      </w:r>
    </w:p>
    <w:p>
      <w:pPr>
        <w:pStyle w:val="ListBullet"/>
        <w:spacing w:before="0" w:after="60" w:line="240" w:lineRule="auto"/>
      </w:pPr>
      <w:r>
        <w:t>Optimize picker allocation when workload or picking time indicates an operational imbalance.</w:t>
      </w:r>
    </w:p>
    <w:p>
      <w:pPr>
        <w:pStyle w:val="ListBullet"/>
        <w:spacing w:before="0" w:after="60" w:line="240" w:lineRule="auto"/>
      </w:pPr>
      <w:r>
        <w:t>Investigate categories with unusually high rejection or cancellation levels.</w:t>
      </w:r>
    </w:p>
    <w:p>
      <w:pPr>
        <w:pStyle w:val="ListBullet"/>
        <w:spacing w:before="0" w:after="60" w:line="240" w:lineRule="auto"/>
      </w:pPr>
      <w:r>
        <w:t>Recognize consistently strong picker and delivery-partner performance.</w:t>
      </w:r>
    </w:p>
    <w:p>
      <w:pPr>
        <w:pStyle w:val="ListBullet"/>
        <w:spacing w:before="0" w:after="60" w:line="240" w:lineRule="auto"/>
      </w:pPr>
      <w:r>
        <w:t>Investigate operational bottlenecks reflected in high picking or delivery time.</w:t>
      </w:r>
    </w:p>
    <w:p>
      <w:pPr>
        <w:pStyle w:val="ListBullet"/>
        <w:spacing w:before="0" w:after="60" w:line="240" w:lineRule="auto"/>
      </w:pPr>
      <w:r>
        <w:t>Use employee-level performance analysis to balance workload and improve service efficiency.</w:t>
      </w:r>
    </w:p>
    <w:p>
      <w:pPr>
        <w:pStyle w:val="Heading1"/>
        <w:spacing w:before="200" w:after="120" w:line="240" w:lineRule="auto"/>
      </w:pPr>
      <w:r>
        <w:t>10. Portfolio Value</w:t>
      </w:r>
    </w:p>
    <w:p>
      <w:pPr>
        <w:spacing w:before="0" w:after="120" w:line="259" w:lineRule="auto"/>
      </w:pPr>
      <w:r>
        <w:t>This project demonstrates practical skills in SQL, data modeling, ETL, DAX, data visualization, KPI design and business analysis. The dedicated Picker Performance and Delivery Partner Performance pages provide strong evidence of employee-level operational analytics.</w:t>
      </w:r>
    </w:p>
    <w:p>
      <w:pPr>
        <w:pStyle w:val="Heading1"/>
        <w:spacing w:before="200" w:after="120" w:line="240" w:lineRule="auto"/>
      </w:pPr>
      <w:r>
        <w:t>11. Repository Structure</w:t>
      </w:r>
    </w:p>
    <w:p>
      <w:pPr>
        <w:spacing w:before="0" w:after="120" w:line="259" w:lineRule="auto"/>
      </w:pPr>
      <w:r>
        <w:t>The GitHub repository is organized into SQL scripts, the Power BI report, dashboard screenshots, documentation and dataset folders.</w:t>
      </w:r>
    </w:p>
    <w:p>
      <w:pPr>
        <w:spacing w:before="0" w:after="120" w:line="259" w:lineRule="auto"/>
      </w:pPr>
      <w:r>
        <w:t>QuickCart-Analytics/</w:t>
        <w:br/>
        <w:t>├── README.md</w:t>
        <w:br/>
        <w:t>├── SQL/</w:t>
        <w:br/>
        <w:t>├── PowerBI/</w:t>
        <w:br/>
        <w:t>├── Dashboard_Screenshots/</w:t>
        <w:br/>
        <w:t>├── Documentation/</w:t>
        <w:br/>
        <w:t>└── Dataset/</w:t>
      </w:r>
    </w:p>
    <w:p>
      <w:pPr>
        <w:pStyle w:val="Heading1"/>
        <w:spacing w:before="200" w:after="120" w:line="240" w:lineRule="auto"/>
      </w:pPr>
      <w:r>
        <w:t>12. Conclusion</w:t>
      </w:r>
    </w:p>
    <w:p>
      <w:pPr>
        <w:spacing w:before="0" w:after="120" w:line="259" w:lineRule="auto"/>
      </w:pPr>
      <w:r>
        <w:t>QuickCart Analytics provides a consolidated analytical view of business and operational performance. By integrating SQL Server, Power Query, DAX and Power BI, the project transforms operational data into interactive KPIs and visual analysis suitable for management decision-making and portfolio presentation.</w:t>
      </w:r>
    </w:p>
    <w:sectPr w:rsidR="00FC693F" w:rsidRPr="0006063C" w:rsidSect="00034616">
      <w:headerReference w:type="default" r:id="rId14"/>
      <w:footerReference w:type="default" r:id="rId15"/>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55555"/>
        <w:sz w:val="16"/>
      </w:rPr>
      <w:t>QuickCart Analytics  |  Power BI Business Intelligence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C492B"/>
        <w:sz w:val="16"/>
      </w:rPr>
      <w:t>QUICKCART ANALYTICS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5555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C492B"/>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4CAF5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C49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