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EE481" w14:textId="5A7E2310" w:rsidR="005509A6" w:rsidRPr="005509A6" w:rsidRDefault="00D56E52" w:rsidP="005509A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BUSINESS </w:t>
      </w:r>
      <w:r w:rsidR="005509A6" w:rsidRPr="005509A6">
        <w:rPr>
          <w:b/>
          <w:bCs/>
          <w:sz w:val="36"/>
          <w:szCs w:val="36"/>
        </w:rPr>
        <w:t>PROBLEM</w:t>
      </w:r>
      <w:r w:rsidR="005509A6">
        <w:rPr>
          <w:b/>
          <w:bCs/>
          <w:sz w:val="36"/>
          <w:szCs w:val="36"/>
        </w:rPr>
        <w:t xml:space="preserve"> STATEMENT</w:t>
      </w:r>
    </w:p>
    <w:p w14:paraId="373E3B6C" w14:textId="216EAC26" w:rsidR="005509A6" w:rsidRPr="005509A6" w:rsidRDefault="005509A6" w:rsidP="005509A6">
      <w:r w:rsidRPr="005509A6">
        <w:rPr>
          <w:b/>
          <w:bCs/>
        </w:rPr>
        <w:t>1. Business Background</w:t>
      </w:r>
      <w:r w:rsidRPr="005509A6">
        <w:t xml:space="preserve"> The organization currently operates within a highly competitive retail and commercial banking landscape, managing a diverse portfolio of over 3,000 high-net-worth and retail clients across multiple global territories. As the financial services sector shifts toward hyper-personalization, our institution relies on a multi-tiered loyalty framework—comprising Jade, Platinum, Gold, and Silver classifications—to manage fee structures and service delivery. With a complex product ecosystem ranging from superannuation savings and foreign currency accounts to business lending and diverse property portfolios, the bank acts as a primary financial partner for clients with significantly varied risk profiles and income levels.</w:t>
      </w:r>
    </w:p>
    <w:p w14:paraId="697A717A" w14:textId="77777777" w:rsidR="005509A6" w:rsidRPr="005509A6" w:rsidRDefault="005509A6" w:rsidP="005509A6">
      <w:r w:rsidRPr="005509A6">
        <w:rPr>
          <w:b/>
          <w:bCs/>
        </w:rPr>
        <w:t>2. Problem Definition</w:t>
      </w:r>
      <w:r w:rsidRPr="005509A6">
        <w:t xml:space="preserve"> Despite maintaining a robust client base, the organization faces a critical challenge in "Information Silos." Current customer data is distributed across disparate transactional systems, making it difficult for executive leadership to gain a unified view of total asset holdings versus liability exposure. Specifically, there is a lack of automated, data-driven visibility into whether higher-loyalty tier customers are generating a proportionate return on assets, or if mid-tier segments are under-leveraged in terms of lending products. Without a centralized analytical bridge, the bank is at risk of inefficient capital allocation and suboptimal relationship management, potentially leading to churn in high-value segments.</w:t>
      </w:r>
    </w:p>
    <w:p w14:paraId="19604DF5" w14:textId="77777777" w:rsidR="005509A6" w:rsidRPr="005509A6" w:rsidRDefault="005509A6" w:rsidP="005509A6">
      <w:r w:rsidRPr="005509A6">
        <w:rPr>
          <w:b/>
          <w:bCs/>
        </w:rPr>
        <w:t>3. Business Objectives</w:t>
      </w:r>
      <w:r w:rsidRPr="005509A6">
        <w:t xml:space="preserve"> The primary goal of this initiative is to transition from reactive reporting to proactive portfolio intelligence. Key objectives include:</w:t>
      </w:r>
    </w:p>
    <w:p w14:paraId="1E9B746A" w14:textId="77777777" w:rsidR="005509A6" w:rsidRPr="005509A6" w:rsidRDefault="005509A6" w:rsidP="005509A6">
      <w:pPr>
        <w:numPr>
          <w:ilvl w:val="0"/>
          <w:numId w:val="1"/>
        </w:numPr>
      </w:pPr>
      <w:r w:rsidRPr="005509A6">
        <w:rPr>
          <w:b/>
          <w:bCs/>
        </w:rPr>
        <w:t>Segment Profitability Analysis:</w:t>
      </w:r>
      <w:r w:rsidRPr="005509A6">
        <w:t xml:space="preserve"> Correlating loyalty classifications (e.g., Jade vs. Silver) with actual bank deposits and loan utilization to ensure fee structures are aligned with business value.</w:t>
      </w:r>
    </w:p>
    <w:p w14:paraId="4CCDDA21" w14:textId="77777777" w:rsidR="005509A6" w:rsidRPr="005509A6" w:rsidRDefault="005509A6" w:rsidP="005509A6">
      <w:pPr>
        <w:numPr>
          <w:ilvl w:val="0"/>
          <w:numId w:val="1"/>
        </w:numPr>
      </w:pPr>
      <w:r w:rsidRPr="005509A6">
        <w:rPr>
          <w:b/>
          <w:bCs/>
        </w:rPr>
        <w:t>Risk-Exposure Calibration:</w:t>
      </w:r>
      <w:r w:rsidRPr="005509A6">
        <w:t xml:space="preserve"> Analyzing the distribution of bank loans across various "Risk Weighting" categories to ensure the lending portfolio remains within corporate appetite.</w:t>
      </w:r>
    </w:p>
    <w:p w14:paraId="1035F2BE" w14:textId="77777777" w:rsidR="005509A6" w:rsidRPr="005509A6" w:rsidRDefault="005509A6" w:rsidP="005509A6">
      <w:pPr>
        <w:numPr>
          <w:ilvl w:val="0"/>
          <w:numId w:val="1"/>
        </w:numPr>
      </w:pPr>
      <w:r w:rsidRPr="005509A6">
        <w:rPr>
          <w:b/>
          <w:bCs/>
        </w:rPr>
        <w:t>Advisor Performance Benchmarking:</w:t>
      </w:r>
      <w:r w:rsidRPr="005509A6">
        <w:t xml:space="preserve"> Evaluating the total assets managed by specific Investment Advisors to identify best practices in relationship management and asset growth.</w:t>
      </w:r>
    </w:p>
    <w:p w14:paraId="00AE12D5" w14:textId="77777777" w:rsidR="005509A6" w:rsidRPr="005509A6" w:rsidRDefault="005509A6" w:rsidP="005509A6">
      <w:pPr>
        <w:numPr>
          <w:ilvl w:val="0"/>
          <w:numId w:val="1"/>
        </w:numPr>
      </w:pPr>
      <w:r w:rsidRPr="005509A6">
        <w:rPr>
          <w:b/>
          <w:bCs/>
        </w:rPr>
        <w:t>Growth Opportunity Identification:</w:t>
      </w:r>
      <w:r w:rsidRPr="005509A6">
        <w:t xml:space="preserve"> Utilizing "Estimated Income" and "Checking/Saving" account ratios to identify under-served clients who are eligible for premium lending or investment products.</w:t>
      </w:r>
    </w:p>
    <w:p w14:paraId="31152483" w14:textId="77777777" w:rsidR="005509A6" w:rsidRPr="005509A6" w:rsidRDefault="005509A6" w:rsidP="005509A6">
      <w:r w:rsidRPr="005509A6">
        <w:rPr>
          <w:b/>
          <w:bCs/>
        </w:rPr>
        <w:t>4. Expected Outcomes</w:t>
      </w:r>
    </w:p>
    <w:p w14:paraId="450C5DAB" w14:textId="336BF861" w:rsidR="005509A6" w:rsidRPr="005509A6" w:rsidRDefault="005509A6" w:rsidP="005509A6">
      <w:pPr>
        <w:numPr>
          <w:ilvl w:val="0"/>
          <w:numId w:val="2"/>
        </w:numPr>
      </w:pPr>
      <w:r w:rsidRPr="005509A6">
        <w:rPr>
          <w:b/>
          <w:bCs/>
        </w:rPr>
        <w:t>Enhanced Decision Support:</w:t>
      </w:r>
      <w:r w:rsidRPr="005509A6">
        <w:t xml:space="preserve"> Delivery of a centralized dashboard providing real-time insights into total bank deposits and loan distributions by gender, nationality, and occupation. </w:t>
      </w:r>
    </w:p>
    <w:p w14:paraId="06723045" w14:textId="77777777" w:rsidR="005509A6" w:rsidRPr="005509A6" w:rsidRDefault="005509A6" w:rsidP="005509A6">
      <w:pPr>
        <w:numPr>
          <w:ilvl w:val="0"/>
          <w:numId w:val="2"/>
        </w:numPr>
      </w:pPr>
      <w:r w:rsidRPr="005509A6">
        <w:rPr>
          <w:b/>
          <w:bCs/>
        </w:rPr>
        <w:t>Optimized Loan Portfolios:</w:t>
      </w:r>
      <w:r w:rsidRPr="005509A6">
        <w:t xml:space="preserve"> Identification of high-risk segments currently holding above-average loan balances, enabling targeted risk mitigation strategies. </w:t>
      </w:r>
    </w:p>
    <w:p w14:paraId="65B27944" w14:textId="77777777" w:rsidR="005509A6" w:rsidRPr="005509A6" w:rsidRDefault="005509A6" w:rsidP="005509A6">
      <w:pPr>
        <w:numPr>
          <w:ilvl w:val="0"/>
          <w:numId w:val="2"/>
        </w:numPr>
      </w:pPr>
      <w:r w:rsidRPr="005509A6">
        <w:rPr>
          <w:b/>
          <w:bCs/>
        </w:rPr>
        <w:t>Increased Wallet Share:</w:t>
      </w:r>
      <w:r w:rsidRPr="005509A6">
        <w:t xml:space="preserve"> Targeted cross-selling opportunities identified by bridging the gap between a customer's estimated income and their current product utilization. </w:t>
      </w:r>
    </w:p>
    <w:p w14:paraId="0AE31A5F" w14:textId="77777777" w:rsidR="005509A6" w:rsidRPr="005509A6" w:rsidRDefault="005509A6" w:rsidP="005509A6">
      <w:pPr>
        <w:numPr>
          <w:ilvl w:val="0"/>
          <w:numId w:val="2"/>
        </w:numPr>
      </w:pPr>
      <w:r w:rsidRPr="005509A6">
        <w:rPr>
          <w:b/>
          <w:bCs/>
        </w:rPr>
        <w:t>Operational Efficiency:</w:t>
      </w:r>
      <w:r w:rsidRPr="005509A6">
        <w:t xml:space="preserve"> Automation of complex SQL-based queries to replace manual reporting, reducing the time-to-insight for regional branch managers and investment advisors. </w:t>
      </w:r>
    </w:p>
    <w:p w14:paraId="45775ADF" w14:textId="0FA0A88C" w:rsidR="005509A6" w:rsidRDefault="005509A6" w:rsidP="005509A6"/>
    <w:p w14:paraId="34627469" w14:textId="77777777" w:rsidR="005509A6" w:rsidRDefault="005509A6" w:rsidP="005509A6"/>
    <w:p w14:paraId="0EBAF4B3" w14:textId="77777777" w:rsidR="005509A6" w:rsidRPr="005509A6" w:rsidRDefault="005509A6" w:rsidP="005509A6"/>
    <w:p w14:paraId="2489F9E8" w14:textId="3A666EFA" w:rsidR="005509A6" w:rsidRDefault="005509A6" w:rsidP="005509A6">
      <w:r w:rsidRPr="005509A6">
        <w:rPr>
          <w:b/>
          <w:bCs/>
        </w:rPr>
        <w:t>Dataset Context:</w:t>
      </w:r>
      <w:r w:rsidRPr="005509A6">
        <w:t xml:space="preserve"> The dataset comprises 3,000 detailed client records, capturing demographic data (Age, Nationality, Occupation), financial snapshots (Estimated Income, Bank Deposits, Superannuation, Checking/Savings, Foreign Currency), and institutional markers (Loyalty Tier, Risk Weighting, and assigned Investment Advisor). </w:t>
      </w:r>
    </w:p>
    <w:p w14:paraId="7DADCD0F" w14:textId="77777777" w:rsidR="005509A6" w:rsidRPr="005509A6" w:rsidRDefault="005509A6" w:rsidP="005509A6"/>
    <w:p w14:paraId="5C450A47" w14:textId="77777777" w:rsidR="005509A6" w:rsidRPr="005509A6" w:rsidRDefault="005509A6" w:rsidP="005509A6">
      <w:r w:rsidRPr="005509A6">
        <w:rPr>
          <w:b/>
          <w:bCs/>
        </w:rPr>
        <w:t>Industry:</w:t>
      </w:r>
      <w:r w:rsidRPr="005509A6">
        <w:t xml:space="preserve"> Banking &amp; Financial Services</w:t>
      </w:r>
    </w:p>
    <w:p w14:paraId="5B980F3A" w14:textId="77777777" w:rsidR="0024517E" w:rsidRDefault="0024517E"/>
    <w:sectPr w:rsidR="0024517E" w:rsidSect="005509A6">
      <w:pgSz w:w="11906" w:h="16838"/>
      <w:pgMar w:top="851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23913" w14:textId="77777777" w:rsidR="002A6FA9" w:rsidRDefault="002A6FA9" w:rsidP="00D56E52">
      <w:pPr>
        <w:spacing w:after="0" w:line="240" w:lineRule="auto"/>
      </w:pPr>
      <w:r>
        <w:separator/>
      </w:r>
    </w:p>
  </w:endnote>
  <w:endnote w:type="continuationSeparator" w:id="0">
    <w:p w14:paraId="7D45554E" w14:textId="77777777" w:rsidR="002A6FA9" w:rsidRDefault="002A6FA9" w:rsidP="00D56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78340" w14:textId="77777777" w:rsidR="002A6FA9" w:rsidRDefault="002A6FA9" w:rsidP="00D56E52">
      <w:pPr>
        <w:spacing w:after="0" w:line="240" w:lineRule="auto"/>
      </w:pPr>
      <w:r>
        <w:separator/>
      </w:r>
    </w:p>
  </w:footnote>
  <w:footnote w:type="continuationSeparator" w:id="0">
    <w:p w14:paraId="2C14B715" w14:textId="77777777" w:rsidR="002A6FA9" w:rsidRDefault="002A6FA9" w:rsidP="00D56E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4A67"/>
    <w:multiLevelType w:val="multilevel"/>
    <w:tmpl w:val="4326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F01DF1"/>
    <w:multiLevelType w:val="multilevel"/>
    <w:tmpl w:val="BC46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69120">
    <w:abstractNumId w:val="1"/>
  </w:num>
  <w:num w:numId="2" w16cid:durableId="161818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9A6"/>
    <w:rsid w:val="0024517E"/>
    <w:rsid w:val="002A6FA9"/>
    <w:rsid w:val="005509A6"/>
    <w:rsid w:val="00A82FB8"/>
    <w:rsid w:val="00D56E52"/>
    <w:rsid w:val="00E3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A3242D"/>
  <w15:chartTrackingRefBased/>
  <w15:docId w15:val="{0EA17B61-DCF5-4C62-8041-BE3B846C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9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9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9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09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09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0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9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6E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E52"/>
  </w:style>
  <w:style w:type="paragraph" w:styleId="Footer">
    <w:name w:val="footer"/>
    <w:basedOn w:val="Normal"/>
    <w:link w:val="FooterChar"/>
    <w:uiPriority w:val="99"/>
    <w:unhideWhenUsed/>
    <w:rsid w:val="00D56E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Narasimhan</dc:creator>
  <cp:keywords/>
  <dc:description/>
  <cp:lastModifiedBy>Dinesh Narasimhan</cp:lastModifiedBy>
  <cp:revision>2</cp:revision>
  <dcterms:created xsi:type="dcterms:W3CDTF">2026-01-30T05:20:00Z</dcterms:created>
  <dcterms:modified xsi:type="dcterms:W3CDTF">2026-01-30T05:54:00Z</dcterms:modified>
</cp:coreProperties>
</file>