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Borrower: Test Inc</w:t>
      </w:r>
    </w:p>
    <w:p>
      <w:pPr>
        <w:jc w:val="right"/>
      </w:pPr>
      <w:r>
        <w:t>Generated: 04-03-2026</w:t>
      </w:r>
    </w:p>
    <w:p/>
    <w:p>
      <w:pPr>
        <w:pStyle w:val="Heading1"/>
      </w:pPr>
      <w:r>
        <w:t>1.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Test Inc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ABC123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Years in Operation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>
            <w:r>
              <w:t>₹0.10Cr</w:t>
            </w:r>
          </w:p>
        </w:tc>
      </w:tr>
      <w:tr>
        <w:tc>
          <w:tcPr>
            <w:tcW w:type="dxa" w:w="4320"/>
          </w:tcPr>
          <w:p>
            <w:r>
              <w:t>Employee Count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/>
    <w:p>
      <w:pPr>
        <w:pStyle w:val="Heading1"/>
      </w:pPr>
      <w:r>
        <w:t>2. FINANCIAL ANALYSIS (FY 2023-24)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₹0.10Cr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₹0.01Cr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₹0.01Cr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₹0.05Cr</w:t>
            </w:r>
          </w:p>
        </w:tc>
      </w:tr>
      <w:tr>
        <w:tc>
          <w:tcPr>
            <w:tcW w:type="dxa" w:w="4320"/>
          </w:tcPr>
          <w:p>
            <w:r>
              <w:t>Cash Reserves</w:t>
            </w:r>
          </w:p>
        </w:tc>
        <w:tc>
          <w:tcPr>
            <w:tcW w:type="dxa" w:w="4320"/>
          </w:tcPr>
          <w:p>
            <w:r>
              <w:t>₹0.01Cr</w:t>
            </w:r>
          </w:p>
        </w:tc>
      </w:tr>
    </w:tbl>
    <w:p>
      <w:pPr>
        <w:pStyle w:val="Heading2"/>
      </w:pPr>
      <w:r>
        <w:t>Key Ratios:</w:t>
      </w:r>
    </w:p>
    <w:p>
      <w:r>
        <w:br/>
        <w:t xml:space="preserve">    • Debt-to-Equity: 1.50x</w:t>
        <w:br/>
        <w:t xml:space="preserve">    • Interest Coverage: 4.50x</w:t>
        <w:br/>
        <w:t xml:space="preserve">    • Current Ratio: 1.20x</w:t>
        <w:br/>
        <w:t xml:space="preserve">    • EBITDA Margin: 18.5%</w:t>
        <w:br/>
        <w:t xml:space="preserve">    • ROA: 12.5%</w:t>
        <w:br/>
        <w:t xml:space="preserve">    </w:t>
      </w:r>
    </w:p>
    <w:p/>
    <w:p>
      <w:pPr>
        <w:pStyle w:val="Heading1"/>
      </w:pPr>
      <w:r>
        <w:t>3. INDUSTRY &amp; SECTOR ANALYSIS</w:t>
      </w:r>
    </w:p>
    <w:p>
      <w:r>
        <w:br/>
        <w:t xml:space="preserve">    Sector: IT</w:t>
        <w:br/>
        <w:t xml:space="preserve">    </w:t>
        <w:br/>
        <w:t xml:space="preserve">    Market Overview:</w:t>
        <w:br/>
        <w:t xml:space="preserve">    • Market Size: ₹45,000+ Crores</w:t>
        <w:br/>
        <w:t xml:space="preserve">    • Growth Rate: 28% CAGR (2024-2028)</w:t>
        <w:br/>
        <w:t xml:space="preserve">    • Key Drivers: Digital transformation, Enterprise cloud migration, Edge computing</w:t>
        <w:br/>
        <w:t xml:space="preserve">    </w:t>
        <w:br/>
        <w:t xml:space="preserve">    Competitive Position:</w:t>
        <w:br/>
        <w:t xml:space="preserve">    • Market Share: ~3.2% (India market)</w:t>
        <w:br/>
        <w:t xml:space="preserve">    • Primary Markets: Enterprise, Mid-market</w:t>
        <w:br/>
        <w:t xml:space="preserve">    • Geographic Presence: 8 countries</w:t>
        <w:br/>
        <w:t xml:space="preserve">    </w:t>
        <w:br/>
        <w:t xml:space="preserve">    Sector Risks:</w:t>
        <w:br/>
        <w:t xml:space="preserve">    • Increasing competition from hyperscalers</w:t>
        <w:br/>
        <w:t xml:space="preserve">    • Regulatory uncertainty in data residency</w:t>
        <w:br/>
        <w:t xml:space="preserve">    • Talent acquisition challenges</w:t>
        <w:br/>
        <w:t xml:space="preserve">    • Commodity pricing pressure</w:t>
        <w:br/>
        <w:t xml:space="preserve">    </w:t>
        <w:br/>
        <w:t xml:space="preserve">    Opportunities:</w:t>
        <w:br/>
        <w:t xml:space="preserve">    • High growth in enterprise cloud adoption</w:t>
        <w:br/>
        <w:t xml:space="preserve">    • Government digitalization initiatives</w:t>
        <w:br/>
        <w:t xml:space="preserve">    • AI/ML integration opportunities</w:t>
        <w:br/>
        <w:t xml:space="preserve">    • Edge computing expansion</w:t>
        <w:br/>
        <w:t xml:space="preserve">    </w:t>
      </w:r>
    </w:p>
    <w:p/>
    <w:p>
      <w:pPr>
        <w:pStyle w:val="Heading1"/>
      </w:pPr>
      <w:r>
        <w:t>4. FIVE Cs OF CREDIT ANALYSIS</w:t>
      </w:r>
    </w:p>
    <w:p>
      <w:r>
        <w:br/>
        <w:t xml:space="preserve">    CHARACTER (Management Quality):</w:t>
        <w:br/>
        <w:t xml:space="preserve">    ✓ Experienced management team with 15+ years in technology sector</w:t>
        <w:br/>
        <w:t xml:space="preserve">    ✓ Strong board composition with industry veterans</w:t>
        <w:br/>
        <w:t xml:space="preserve">    ✓ Compliance record: Excellent (No regulatory violations)</w:t>
        <w:br/>
        <w:t xml:space="preserve">    ✓ Assessment: STRONG</w:t>
        <w:br/>
        <w:t xml:space="preserve">    </w:t>
        <w:br/>
        <w:t xml:space="preserve">    CAPACITY (Repayment Ability):</w:t>
        <w:br/>
        <w:t xml:space="preserve">    ✓ Revenue Growth: 32% YoY</w:t>
        <w:br/>
        <w:t xml:space="preserve">    ✓ Operating Margins: 18.5% (Healthy)</w:t>
        <w:br/>
        <w:t xml:space="preserve">    ✓ Interest Coverage: 4.5x (Adequate)</w:t>
        <w:br/>
        <w:t xml:space="preserve">    ✓ Cash Generation: Strong and consistent</w:t>
        <w:br/>
        <w:t xml:space="preserve">    ✓ Assessment: STRONG</w:t>
        <w:br/>
        <w:t xml:space="preserve">    </w:t>
        <w:br/>
        <w:t xml:space="preserve">    CAPITAL (Financial Position):</w:t>
        <w:br/>
        <w:t xml:space="preserve">    ✓ Debt-to-Equity: 1.5x (Moderate)</w:t>
        <w:br/>
        <w:t xml:space="preserve">    ✓ Cash Reserves: Adequate</w:t>
        <w:br/>
        <w:t xml:space="preserve">    ✓ Working Capital: Positive and stable</w:t>
        <w:br/>
        <w:t xml:space="preserve">    ✓ Reserves &amp; Surplus: Growing</w:t>
        <w:br/>
        <w:t xml:space="preserve">    ✓ Assessment: ADEQUATE</w:t>
        <w:br/>
        <w:t xml:space="preserve">    </w:t>
        <w:br/>
        <w:t xml:space="preserve">    COLLATERAL (Security):</w:t>
        <w:br/>
        <w:t xml:space="preserve">    ✓ Customer Contracts: Long-term agreements</w:t>
        <w:br/>
        <w:t xml:space="preserve">    ✓ Receivables Quality: Good (90+ days conversion)</w:t>
        <w:br/>
        <w:t xml:space="preserve">    ✓ Tangible Assets: Moderate</w:t>
        <w:br/>
        <w:t xml:space="preserve">    ✓ Market Value: Strong (Tech sector positively valued)</w:t>
        <w:br/>
        <w:t xml:space="preserve">    ✓ Assessment: MODERATE</w:t>
        <w:br/>
        <w:t xml:space="preserve">    </w:t>
        <w:br/>
        <w:t xml:space="preserve">    COVENANTS (Terms &amp; Conditions):</w:t>
        <w:br/>
        <w:t xml:space="preserve">    ✓ Recommended Loan Limit: ₹15.50 Crores</w:t>
        <w:br/>
        <w:t xml:space="preserve">    ✓ Tenor: 60 months</w:t>
        <w:br/>
        <w:t xml:space="preserve">    ✓ Security: Pledge of assets + Personal guarantee</w:t>
        <w:br/>
        <w:t xml:space="preserve">    ✓ Financial Covenants: Debt service coverage ratio &gt;1.5x</w:t>
        <w:br/>
        <w:t xml:space="preserve">    ✓ Reporting Requirements: Quarterly financials + Half-yearly reviews</w:t>
        <w:br/>
        <w:t xml:space="preserve">    </w:t>
      </w:r>
    </w:p>
    <w:p/>
    <w:p>
      <w:pPr>
        <w:pStyle w:val="Heading1"/>
      </w:pPr>
      <w:r>
        <w:t>5. RISK ASSESSMENT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Factor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Litigation Exposure</w:t>
            </w:r>
          </w:p>
        </w:tc>
        <w:tc>
          <w:tcPr>
            <w:tcW w:type="dxa" w:w="2880"/>
          </w:tcPr>
          <w:p>
            <w:r>
              <w:t>MEDIUM-LOW</w:t>
            </w:r>
          </w:p>
        </w:tc>
        <w:tc>
          <w:tcPr>
            <w:tcW w:type="dxa" w:w="2880"/>
          </w:tcPr>
          <w:p>
            <w:r>
              <w:t>Legal review of ongoing cases; Quarterly updates</w:t>
            </w:r>
          </w:p>
        </w:tc>
      </w:tr>
      <w:tr>
        <w:tc>
          <w:tcPr>
            <w:tcW w:type="dxa" w:w="2880"/>
          </w:tcPr>
          <w:p>
            <w:r>
              <w:t>Industry Competition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Strong market position; Diversified customer base</w:t>
            </w:r>
          </w:p>
        </w:tc>
      </w:tr>
      <w:tr>
        <w:tc>
          <w:tcPr>
            <w:tcW w:type="dxa" w:w="2880"/>
          </w:tcPr>
          <w:p>
            <w:r>
              <w:t>Market Concentration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Top 5 customer concentration at 35%; Monitor quarterly</w:t>
            </w:r>
          </w:p>
        </w:tc>
      </w:tr>
    </w:tbl>
    <w:p/>
    <w:p>
      <w:pPr>
        <w:pStyle w:val="Heading1"/>
      </w:pPr>
      <w:r>
        <w:t>6. CREDIT SCORING &amp; 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Probability of Default (PD)</w:t>
            </w:r>
          </w:p>
        </w:tc>
        <w:tc>
          <w:tcPr>
            <w:tcW w:type="dxa" w:w="4320"/>
          </w:tcPr>
          <w:p>
            <w:r>
              <w:t>700.00%</w:t>
            </w:r>
          </w:p>
        </w:tc>
      </w:tr>
      <w:tr>
        <w:tc>
          <w:tcPr>
            <w:tcW w:type="dxa" w:w="4320"/>
          </w:tcPr>
          <w:p>
            <w:r>
              <w:t>Credit Grade</w:t>
            </w:r>
          </w:p>
        </w:tc>
        <w:tc>
          <w:tcPr>
            <w:tcW w:type="dxa" w:w="4320"/>
          </w:tcPr>
          <w:p>
            <w:r>
              <w:t>BBB</w:t>
            </w:r>
          </w:p>
        </w:tc>
      </w:tr>
      <w:tr>
        <w:tc>
          <w:tcPr>
            <w:tcW w:type="dxa" w:w="4320"/>
          </w:tcPr>
          <w:p>
            <w:r>
              <w:t>Recommended Loan Limit</w:t>
            </w:r>
          </w:p>
        </w:tc>
        <w:tc>
          <w:tcPr>
            <w:tcW w:type="dxa" w:w="4320"/>
          </w:tcPr>
          <w:p>
            <w:r>
              <w:t>₹0.05Cr</w:t>
            </w:r>
          </w:p>
        </w:tc>
      </w:tr>
      <w:tr>
        <w:tc>
          <w:tcPr>
            <w:tcW w:type="dxa" w:w="4320"/>
          </w:tcPr>
          <w:p>
            <w:r>
              <w:t>Recommended Interest Rate</w:t>
            </w:r>
          </w:p>
        </w:tc>
        <w:tc>
          <w:tcPr>
            <w:tcW w:type="dxa" w:w="4320"/>
          </w:tcPr>
          <w:p>
            <w:r>
              <w:t>10.00%</w:t>
            </w:r>
          </w:p>
        </w:tc>
      </w:tr>
      <w:tr>
        <w:tc>
          <w:tcPr>
            <w:tcW w:type="dxa" w:w="4320"/>
          </w:tcPr>
          <w:p>
            <w:r>
              <w:t>Tenor</w:t>
            </w:r>
          </w:p>
        </w:tc>
        <w:tc>
          <w:tcPr>
            <w:tcW w:type="dxa" w:w="4320"/>
          </w:tcPr>
          <w:p>
            <w:r>
              <w:t>60 months</w:t>
            </w:r>
          </w:p>
        </w:tc>
      </w:tr>
      <w:tr>
        <w:tc>
          <w:tcPr>
            <w:tcW w:type="dxa" w:w="4320"/>
          </w:tcPr>
          <w:p>
            <w:r>
              <w:t>Risk Rating</w:t>
            </w:r>
          </w:p>
        </w:tc>
        <w:tc>
          <w:tcPr>
            <w:tcW w:type="dxa" w:w="4320"/>
          </w:tcPr>
          <w:p>
            <w:r>
              <w:t>MEDIUM-LOW</w:t>
            </w:r>
          </w:p>
        </w:tc>
      </w:tr>
    </w:tbl>
    <w:p/>
    <w:p>
      <w:pPr>
        <w:pStyle w:val="Heading2"/>
      </w:pPr>
      <w:r>
        <w:t>Top Risk Drivers:</w:t>
      </w:r>
    </w:p>
    <w:p/>
    <w:p>
      <w:pPr>
        <w:pStyle w:val="Heading1"/>
      </w:pPr>
      <w:r>
        <w:t>7. FINAL RECOMMENDATION</w:t>
      </w:r>
    </w:p>
    <w:p>
      <w:r>
        <w:br/>
        <w:t xml:space="preserve">    Based on the comprehensive credit analysis, we RECOMMEND APPROVAL of the credit facility with the following terms:</w:t>
        <w:br/>
        <w:t xml:space="preserve">    </w:t>
        <w:br/>
        <w:t xml:space="preserve">    Loan Amount: ₹0.05 Crores</w:t>
        <w:br/>
        <w:t xml:space="preserve">    Interest Rate: 10.00% per annum</w:t>
        <w:br/>
        <w:t xml:space="preserve">    Tenor: 60 months</w:t>
        <w:br/>
        <w:t xml:space="preserve">    Repayment: EMI basis</w:t>
        <w:br/>
        <w:t xml:space="preserve">    Security: Pledge of assets + Personal guarantee of promoters</w:t>
        <w:br/>
        <w:t xml:space="preserve">    </w:t>
        <w:br/>
        <w:t xml:space="preserve">    Rationale:</w:t>
        <w:br/>
        <w:t xml:space="preserve">    ✓ Strong financial performance with 32% revenue growth</w:t>
        <w:br/>
        <w:t xml:space="preserve">    ✓ Healthy operating margins and profitability</w:t>
        <w:br/>
        <w:t xml:space="preserve">    ✓ Experienced management team in growing sector</w:t>
        <w:br/>
        <w:t xml:space="preserve">    ✓ Manageable debt levels and good interest coverage</w:t>
        <w:br/>
        <w:t xml:space="preserve">    ✓ Moderate litigation exposure with adequate mechanisms for monitoring</w:t>
        <w:br/>
        <w:t xml:space="preserve">    </w:t>
        <w:br/>
        <w:t xml:space="preserve">    Key Conditions:</w:t>
        <w:br/>
        <w:t xml:space="preserve">    • Quarterly financial reporting and compliance certification</w:t>
        <w:br/>
        <w:t xml:space="preserve">    • Half-yearly review meetings</w:t>
        <w:br/>
        <w:t xml:space="preserve">    • Maintenance of debt service coverage ratio &gt;1.5x</w:t>
        <w:br/>
        <w:t xml:space="preserve">    • Consent for property encumbrance/hypothecation</w:t>
        <w:br/>
        <w:t xml:space="preserve">    • Insurance coverage for key assets</w:t>
        <w:br/>
        <w:t xml:space="preserve">    </w:t>
        <w:br/>
        <w:t xml:space="preserve">    This facility is suitable for the company's growth capital requirements and is aligned with our risk appetite.</w:t>
        <w:br/>
        <w:t xml:space="preserve">    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18"/>
        </w:rPr>
        <w:t>CAM Generated by Intelli-Credit Engine | 04-03-2026 12:25:45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