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Asst. Collector Custom</w:t>
      </w:r>
    </w:p>
    <w:p>
      <w:pPr>
        <w:spacing w:after="0"/>
        <w:ind w:left="720"/>
      </w:pPr>
      <w:r>
        <w:rPr>
          <w:i/>
          <w:iCs/>
        </w:rPr>
        <w:t xml:space="preserve"/>
      </w:r>
    </w:p>
    <w:p>
      <w:pPr>
        <w:spacing w:after="0"/>
        <w:ind w:left="720"/>
      </w:pPr>
      <w:r>
        <w:rPr>
          <w:i/>
          <w:iCs/>
        </w:rPr>
        <w:t xml:space="preserve">Custom house, Paradip Jagatsinghpur 754142</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Asst. Collector Custom</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18000.00/-</w:t>
      </w:r>
      <w:r>
        <w:t xml:space="preserve"> (</w:t>
      </w:r>
      <w:r>
        <w:rPr>
          <w:i/>
          <w:iCs/>
          <w:u w:val="single"/>
        </w:rPr>
        <w:t xml:space="preserve">Rupees 18000.00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