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State Bank of India</w:t>
      </w:r>
    </w:p>
    <w:p>
      <w:pPr>
        <w:spacing w:after="0"/>
        <w:ind w:left="720"/>
      </w:pPr>
      <w:r>
        <w:rPr>
          <w:i/>
          <w:iCs/>
        </w:rPr>
        <w:t xml:space="preserve"/>
      </w:r>
    </w:p>
    <w:p>
      <w:pPr>
        <w:spacing w:after="0"/>
        <w:ind w:left="720"/>
      </w:pPr>
      <w:r>
        <w:rPr>
          <w:i/>
          <w:iCs/>
        </w:rPr>
        <w:t xml:space="preserve">Paradip Branch ,Paradip ,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State Bank of India</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