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7"/>
        </w:rPr>
        <w:t>LAB 3: COMPONENT MODELLING &amp; ARCHITECTURAL PATTERN SELECTION</w:t>
      </w:r>
    </w:p>
    <w:p>
      <w:pPr>
        <w:jc w:val="center"/>
      </w:pPr>
      <w:r>
        <w:rPr>
          <w:b/>
          <w:sz w:val="21"/>
        </w:rPr>
        <w:t>Municipal Infrastructure Damage Reporting Application</w:t>
      </w:r>
    </w:p>
    <w:p>
      <w:pPr>
        <w:spacing w:before="60" w:after="20"/>
      </w:pPr>
      <w:r>
        <w:rPr>
          <w:b/>
          <w:sz w:val="19"/>
        </w:rPr>
        <w:t>Architecture Selection</w:t>
      </w:r>
    </w:p>
    <w:p>
      <w:pPr>
        <w:spacing w:after="40" w:line="221" w:lineRule="auto"/>
      </w:pPr>
      <w:r>
        <w:rPr>
          <w:sz w:val="17"/>
        </w:rPr>
        <w:t xml:space="preserve">We chose </w:t>
      </w:r>
      <w:r>
        <w:rPr>
          <w:b/>
          <w:sz w:val="17"/>
        </w:rPr>
        <w:t>Layered Architecture</w:t>
      </w:r>
      <w:r>
        <w:rPr>
          <w:sz w:val="17"/>
        </w:rPr>
        <w:t xml:space="preserve"> for the Municipal Infrastructure Damage Reporting Application. The system is organized into a presentation layer (Citizen Portal), business/service layer (Report Management, Location &amp; GPS Service, Dispatch Service, Ticket Management and Notification Service), and a data layer (Infrastructure Database).</w:t>
      </w:r>
    </w:p>
    <w:p>
      <w:pPr>
        <w:spacing w:before="60" w:after="20"/>
      </w:pPr>
      <w:r>
        <w:rPr>
          <w:b/>
          <w:sz w:val="19"/>
        </w:rPr>
        <w:t>Architectural Choice — Two Scenario-Related Reasons</w:t>
      </w:r>
    </w:p>
    <w:p>
      <w:pPr>
        <w:spacing w:after="40" w:line="221" w:lineRule="auto"/>
      </w:pPr>
      <w:r>
        <w:rPr>
          <w:sz w:val="17"/>
        </w:rPr>
      </w:r>
      <w:r>
        <w:rPr>
          <w:b/>
          <w:sz w:val="17"/>
        </w:rPr>
        <w:t>1. Clear separation of concerns:</w:t>
      </w:r>
      <w:r>
        <w:rPr>
          <w:sz w:val="17"/>
        </w:rPr>
        <w:t xml:space="preserve"> reporting, location processing, dispatch, ticket management and notifications are separated into focused components. This makes individual functions easier to test, maintain and replace.&lt;br/&gt;</w:t>
      </w:r>
      <w:r>
        <w:rPr>
          <w:b/>
          <w:sz w:val="17"/>
        </w:rPr>
        <w:t>2. Suitable workflow structure:</w:t>
      </w:r>
      <w:r>
        <w:rPr>
          <w:sz w:val="17"/>
        </w:rPr>
        <w:t xml:space="preserve"> the scenario follows a clear sequence from citizen report submission through GPS/GIS processing and departmental dispatch to ticket tracking and notifications. Layered organization supports this predictable flow while keeping data access centralized.</w:t>
      </w:r>
    </w:p>
    <w:p>
      <w:pPr>
        <w:spacing w:before="60" w:after="20"/>
      </w:pPr>
      <w:r>
        <w:rPr>
          <w:b/>
          <w:sz w:val="19"/>
        </w:rPr>
        <w:t>Security Advantage</w:t>
      </w:r>
    </w:p>
    <w:p>
      <w:pPr>
        <w:spacing w:after="40" w:line="221" w:lineRule="auto"/>
      </w:pPr>
      <w:r>
        <w:rPr>
          <w:sz w:val="17"/>
        </w:rPr>
        <w:t>The architecture allows validation and authorization to be enforced at the presentation and business-service boundaries before information reaches the Infrastructure Database. This reduces unnecessary direct access to municipal records.</w:t>
      </w:r>
    </w:p>
    <w:p>
      <w:pPr>
        <w:spacing w:before="60" w:after="20"/>
      </w:pPr>
      <w:r>
        <w:rPr>
          <w:b/>
          <w:sz w:val="19"/>
        </w:rPr>
        <w:t>Performance Benefit</w:t>
      </w:r>
    </w:p>
    <w:p>
      <w:pPr>
        <w:spacing w:after="40" w:line="221" w:lineRule="auto"/>
      </w:pPr>
      <w:r>
        <w:rPr>
          <w:sz w:val="17"/>
        </w:rPr>
        <w:t>Frequently used operations can be optimized independently. Report validation and ticket-status retrieval can remain lightweight, while GPS/GIS processing is handled separately so location processing does not unnecessarily block normal portal interactions.</w:t>
      </w:r>
    </w:p>
    <w:p>
      <w:pPr>
        <w:spacing w:before="40"/>
        <w:jc w:val="center"/>
      </w:pPr>
      <w:r>
        <w:rPr>
          <w:i/>
          <w:sz w:val="16"/>
        </w:rPr>
        <w:t>Student: Dinesh  |  SRN: PES1UG24CS157  |  Semester: 5  |  Section: C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