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0DCD" w:rsidRDefault="005913AE">
      <w:pPr>
        <w:spacing w:before="1400"/>
        <w:jc w:val="center"/>
        <w:rPr>
          <w:rFonts w:hint="eastAsia"/>
        </w:rPr>
      </w:pPr>
      <w:r>
        <w:rPr>
          <w:rFonts w:ascii="Aptos Display" w:hAnsi="Aptos Display"/>
          <w:b/>
          <w:color w:val="17365D"/>
          <w:sz w:val="34"/>
        </w:rPr>
        <w:t>KPR INSTITUTE OF ENGINEERING AND TECHNOLOGY</w:t>
      </w:r>
    </w:p>
    <w:p w:rsidR="00A20DCD" w:rsidRDefault="005913AE">
      <w:pPr>
        <w:jc w:val="center"/>
        <w:rPr>
          <w:rFonts w:hint="eastAsia"/>
        </w:rPr>
      </w:pPr>
      <w:r>
        <w:rPr>
          <w:b/>
          <w:color w:val="4B555F"/>
          <w:sz w:val="24"/>
        </w:rPr>
        <w:t>Department of Artificial Intelligence and Data Science</w:t>
      </w:r>
    </w:p>
    <w:p w:rsidR="00A20DCD" w:rsidRDefault="005913AE">
      <w:pPr>
        <w:spacing w:before="960"/>
        <w:jc w:val="center"/>
        <w:rPr>
          <w:rFonts w:hint="eastAsia"/>
        </w:rPr>
      </w:pPr>
      <w:r>
        <w:rPr>
          <w:b/>
          <w:color w:val="BE6E23"/>
          <w:sz w:val="28"/>
        </w:rPr>
        <w:t>ASSIGNMENT II</w:t>
      </w:r>
    </w:p>
    <w:p w:rsidR="00A20DCD" w:rsidRDefault="005913AE">
      <w:pPr>
        <w:jc w:val="center"/>
        <w:rPr>
          <w:rFonts w:hint="eastAsia"/>
        </w:rPr>
      </w:pPr>
      <w:r>
        <w:rPr>
          <w:b/>
          <w:color w:val="17365D"/>
          <w:sz w:val="42"/>
        </w:rPr>
        <w:t>EXPLORATORY DATA ANALYSIS AND VISUALIZATION</w:t>
      </w:r>
    </w:p>
    <w:p w:rsidR="00A20DCD" w:rsidRDefault="005913AE">
      <w:pPr>
        <w:jc w:val="center"/>
        <w:rPr>
          <w:rFonts w:hint="eastAsia"/>
        </w:rPr>
      </w:pPr>
      <w:r>
        <w:rPr>
          <w:b/>
          <w:color w:val="405878"/>
          <w:sz w:val="32"/>
        </w:rPr>
        <w:t>Telco Customer Churn Analysis Using EDA and Deep Learning</w:t>
      </w:r>
    </w:p>
    <w:p w:rsidR="00A20DCD" w:rsidRPr="00394A60" w:rsidRDefault="00A20DCD">
      <w:pPr>
        <w:spacing w:before="760"/>
        <w:rPr>
          <w:rFonts w:hint="eastAsia"/>
          <w:sz w:val="26"/>
        </w:rPr>
      </w:pPr>
    </w:p>
    <w:tbl>
      <w:tblPr>
        <w:tblStyle w:val="TableGrid"/>
        <w:tblW w:w="0" w:type="auto"/>
        <w:jc w:val="center"/>
        <w:tblLook w:val="04A0"/>
      </w:tblPr>
      <w:tblGrid>
        <w:gridCol w:w="3024"/>
        <w:gridCol w:w="6192"/>
      </w:tblGrid>
      <w:tr w:rsidR="00A20DCD" w:rsidRPr="00394A60">
        <w:trPr>
          <w:jc w:val="center"/>
        </w:trPr>
        <w:tc>
          <w:tcPr>
            <w:tcW w:w="3024" w:type="dxa"/>
            <w:shd w:val="clear" w:color="auto" w:fill="17365D"/>
            <w:vAlign w:val="center"/>
          </w:tcPr>
          <w:p w:rsidR="00A20DCD" w:rsidRPr="00394A60" w:rsidRDefault="005913AE">
            <w:pPr>
              <w:spacing w:after="0"/>
              <w:rPr>
                <w:rFonts w:hint="eastAsia"/>
                <w:sz w:val="26"/>
              </w:rPr>
            </w:pPr>
            <w:r w:rsidRPr="00394A60">
              <w:rPr>
                <w:b/>
                <w:color w:val="FFFFFF"/>
                <w:sz w:val="25"/>
              </w:rPr>
              <w:t>Detail</w:t>
            </w:r>
          </w:p>
        </w:tc>
        <w:tc>
          <w:tcPr>
            <w:tcW w:w="6192" w:type="dxa"/>
            <w:shd w:val="clear" w:color="auto" w:fill="17365D"/>
            <w:vAlign w:val="center"/>
          </w:tcPr>
          <w:p w:rsidR="00A20DCD" w:rsidRPr="00394A60" w:rsidRDefault="005913AE">
            <w:pPr>
              <w:spacing w:after="0"/>
              <w:rPr>
                <w:rFonts w:hint="eastAsia"/>
                <w:sz w:val="26"/>
              </w:rPr>
            </w:pPr>
            <w:r w:rsidRPr="00394A60">
              <w:rPr>
                <w:b/>
                <w:color w:val="FFFFFF"/>
                <w:sz w:val="25"/>
              </w:rPr>
              <w:t>Information</w:t>
            </w:r>
          </w:p>
        </w:tc>
      </w:tr>
      <w:tr w:rsidR="00A20DCD" w:rsidRPr="00394A60">
        <w:trPr>
          <w:jc w:val="center"/>
        </w:trPr>
        <w:tc>
          <w:tcPr>
            <w:tcW w:w="3024" w:type="dxa"/>
            <w:vAlign w:val="center"/>
          </w:tcPr>
          <w:p w:rsidR="00A20DCD" w:rsidRPr="00394A60" w:rsidRDefault="005913AE">
            <w:pPr>
              <w:spacing w:after="0"/>
              <w:rPr>
                <w:rFonts w:hint="eastAsia"/>
                <w:sz w:val="26"/>
              </w:rPr>
            </w:pPr>
            <w:r w:rsidRPr="00394A60">
              <w:rPr>
                <w:sz w:val="25"/>
              </w:rPr>
              <w:t xml:space="preserve">Course code and </w:t>
            </w:r>
            <w:r w:rsidRPr="00394A60">
              <w:rPr>
                <w:sz w:val="25"/>
              </w:rPr>
              <w:t>title</w:t>
            </w:r>
          </w:p>
        </w:tc>
        <w:tc>
          <w:tcPr>
            <w:tcW w:w="6192" w:type="dxa"/>
            <w:vAlign w:val="center"/>
          </w:tcPr>
          <w:p w:rsidR="00A20DCD" w:rsidRPr="00394A60" w:rsidRDefault="005913AE">
            <w:pPr>
              <w:spacing w:after="0"/>
              <w:rPr>
                <w:rFonts w:hint="eastAsia"/>
                <w:sz w:val="26"/>
              </w:rPr>
            </w:pPr>
            <w:r w:rsidRPr="00394A60">
              <w:rPr>
                <w:sz w:val="25"/>
              </w:rPr>
              <w:t>U21ADP05 — Exploratory Data Analysis and Visualization</w:t>
            </w:r>
          </w:p>
        </w:tc>
      </w:tr>
      <w:tr w:rsidR="00A20DCD" w:rsidRPr="00394A60">
        <w:trPr>
          <w:jc w:val="center"/>
        </w:trPr>
        <w:tc>
          <w:tcPr>
            <w:tcW w:w="3024" w:type="dxa"/>
            <w:shd w:val="clear" w:color="auto" w:fill="F0F4F8"/>
            <w:vAlign w:val="center"/>
          </w:tcPr>
          <w:p w:rsidR="00A20DCD" w:rsidRPr="00394A60" w:rsidRDefault="00E41F0F">
            <w:pPr>
              <w:spacing w:after="0"/>
              <w:rPr>
                <w:rFonts w:hint="eastAsia"/>
                <w:sz w:val="26"/>
              </w:rPr>
            </w:pPr>
            <w:r>
              <w:rPr>
                <w:sz w:val="25"/>
              </w:rPr>
              <w:t>N</w:t>
            </w:r>
            <w:r w:rsidR="005913AE" w:rsidRPr="00394A60">
              <w:rPr>
                <w:sz w:val="25"/>
              </w:rPr>
              <w:t>ame</w:t>
            </w:r>
          </w:p>
        </w:tc>
        <w:tc>
          <w:tcPr>
            <w:tcW w:w="6192" w:type="dxa"/>
            <w:shd w:val="clear" w:color="auto" w:fill="F0F4F8"/>
            <w:vAlign w:val="center"/>
          </w:tcPr>
          <w:p w:rsidR="00A20DCD" w:rsidRPr="00394A60" w:rsidRDefault="00394A60">
            <w:pPr>
              <w:spacing w:after="0"/>
              <w:rPr>
                <w:rFonts w:hint="eastAsia"/>
                <w:sz w:val="26"/>
              </w:rPr>
            </w:pPr>
            <w:r w:rsidRPr="00394A60">
              <w:rPr>
                <w:sz w:val="25"/>
              </w:rPr>
              <w:t>DINESH S</w:t>
            </w:r>
          </w:p>
        </w:tc>
      </w:tr>
      <w:tr w:rsidR="00A20DCD" w:rsidRPr="00394A60">
        <w:trPr>
          <w:jc w:val="center"/>
        </w:trPr>
        <w:tc>
          <w:tcPr>
            <w:tcW w:w="3024" w:type="dxa"/>
            <w:vAlign w:val="center"/>
          </w:tcPr>
          <w:p w:rsidR="00A20DCD" w:rsidRPr="00394A60" w:rsidRDefault="00E41F0F">
            <w:pPr>
              <w:spacing w:after="0"/>
              <w:rPr>
                <w:rFonts w:hint="eastAsia"/>
                <w:sz w:val="26"/>
              </w:rPr>
            </w:pPr>
            <w:r>
              <w:rPr>
                <w:sz w:val="25"/>
              </w:rPr>
              <w:t>R</w:t>
            </w:r>
            <w:r w:rsidR="005913AE" w:rsidRPr="00394A60">
              <w:rPr>
                <w:sz w:val="25"/>
              </w:rPr>
              <w:t>oll number</w:t>
            </w:r>
          </w:p>
        </w:tc>
        <w:tc>
          <w:tcPr>
            <w:tcW w:w="6192" w:type="dxa"/>
            <w:vAlign w:val="center"/>
          </w:tcPr>
          <w:p w:rsidR="00A20DCD" w:rsidRPr="00394A60" w:rsidRDefault="00394A60">
            <w:pPr>
              <w:spacing w:after="0"/>
              <w:rPr>
                <w:rFonts w:hint="eastAsia"/>
                <w:sz w:val="26"/>
              </w:rPr>
            </w:pPr>
            <w:r w:rsidRPr="00394A60">
              <w:rPr>
                <w:sz w:val="25"/>
              </w:rPr>
              <w:t>24AD030</w:t>
            </w:r>
          </w:p>
        </w:tc>
      </w:tr>
      <w:tr w:rsidR="00A20DCD" w:rsidRPr="00394A60">
        <w:trPr>
          <w:jc w:val="center"/>
        </w:trPr>
        <w:tc>
          <w:tcPr>
            <w:tcW w:w="3024" w:type="dxa"/>
            <w:shd w:val="clear" w:color="auto" w:fill="F0F4F8"/>
            <w:vAlign w:val="center"/>
          </w:tcPr>
          <w:p w:rsidR="00A20DCD" w:rsidRPr="00394A60" w:rsidRDefault="005913AE">
            <w:pPr>
              <w:spacing w:after="0"/>
              <w:rPr>
                <w:rFonts w:hint="eastAsia"/>
                <w:sz w:val="26"/>
              </w:rPr>
            </w:pPr>
            <w:r w:rsidRPr="00394A60">
              <w:rPr>
                <w:sz w:val="25"/>
              </w:rPr>
              <w:t>Department</w:t>
            </w:r>
          </w:p>
        </w:tc>
        <w:tc>
          <w:tcPr>
            <w:tcW w:w="6192" w:type="dxa"/>
            <w:shd w:val="clear" w:color="auto" w:fill="F0F4F8"/>
            <w:vAlign w:val="center"/>
          </w:tcPr>
          <w:p w:rsidR="00A20DCD" w:rsidRPr="00394A60" w:rsidRDefault="005913AE">
            <w:pPr>
              <w:spacing w:after="0"/>
              <w:rPr>
                <w:rFonts w:hint="eastAsia"/>
                <w:sz w:val="26"/>
              </w:rPr>
            </w:pPr>
            <w:r w:rsidRPr="00394A60">
              <w:rPr>
                <w:sz w:val="25"/>
              </w:rPr>
              <w:t>Artificial Intelligence and Data Science</w:t>
            </w:r>
          </w:p>
        </w:tc>
      </w:tr>
      <w:tr w:rsidR="00A20DCD" w:rsidRPr="00394A60">
        <w:trPr>
          <w:jc w:val="center"/>
        </w:trPr>
        <w:tc>
          <w:tcPr>
            <w:tcW w:w="3024" w:type="dxa"/>
            <w:vAlign w:val="center"/>
          </w:tcPr>
          <w:p w:rsidR="00A20DCD" w:rsidRPr="00394A60" w:rsidRDefault="005913AE">
            <w:pPr>
              <w:spacing w:after="0"/>
              <w:rPr>
                <w:rFonts w:hint="eastAsia"/>
                <w:sz w:val="26"/>
              </w:rPr>
            </w:pPr>
            <w:r w:rsidRPr="00394A60">
              <w:rPr>
                <w:sz w:val="25"/>
              </w:rPr>
              <w:t>Year / Semester</w:t>
            </w:r>
          </w:p>
        </w:tc>
        <w:tc>
          <w:tcPr>
            <w:tcW w:w="6192" w:type="dxa"/>
            <w:vAlign w:val="center"/>
          </w:tcPr>
          <w:p w:rsidR="00A20DCD" w:rsidRPr="00394A60" w:rsidRDefault="007935D5">
            <w:pPr>
              <w:spacing w:after="0"/>
              <w:rPr>
                <w:rFonts w:hint="eastAsia"/>
                <w:sz w:val="26"/>
              </w:rPr>
            </w:pPr>
            <w:r>
              <w:rPr>
                <w:sz w:val="25"/>
              </w:rPr>
              <w:t>III-YR/</w:t>
            </w:r>
            <w:r w:rsidR="005913AE" w:rsidRPr="00394A60">
              <w:rPr>
                <w:sz w:val="25"/>
              </w:rPr>
              <w:t>V Semester</w:t>
            </w:r>
          </w:p>
        </w:tc>
      </w:tr>
      <w:tr w:rsidR="00A20DCD" w:rsidRPr="00394A60">
        <w:trPr>
          <w:jc w:val="center"/>
        </w:trPr>
        <w:tc>
          <w:tcPr>
            <w:tcW w:w="3024" w:type="dxa"/>
            <w:shd w:val="clear" w:color="auto" w:fill="F0F4F8"/>
            <w:vAlign w:val="center"/>
          </w:tcPr>
          <w:p w:rsidR="00A20DCD" w:rsidRPr="00394A60" w:rsidRDefault="005913AE">
            <w:pPr>
              <w:spacing w:after="0"/>
              <w:rPr>
                <w:rFonts w:hint="eastAsia"/>
                <w:sz w:val="26"/>
              </w:rPr>
            </w:pPr>
            <w:r w:rsidRPr="00394A60">
              <w:rPr>
                <w:sz w:val="25"/>
              </w:rPr>
              <w:t>Academic year</w:t>
            </w:r>
          </w:p>
        </w:tc>
        <w:tc>
          <w:tcPr>
            <w:tcW w:w="6192" w:type="dxa"/>
            <w:shd w:val="clear" w:color="auto" w:fill="F0F4F8"/>
            <w:vAlign w:val="center"/>
          </w:tcPr>
          <w:p w:rsidR="00A20DCD" w:rsidRPr="00394A60" w:rsidRDefault="005913AE">
            <w:pPr>
              <w:spacing w:after="0"/>
              <w:rPr>
                <w:rFonts w:hint="eastAsia"/>
                <w:sz w:val="26"/>
              </w:rPr>
            </w:pPr>
            <w:r w:rsidRPr="00394A60">
              <w:rPr>
                <w:sz w:val="25"/>
              </w:rPr>
              <w:t xml:space="preserve">2026–2027 </w:t>
            </w:r>
            <w:r w:rsidRPr="00394A60">
              <w:rPr>
                <w:sz w:val="25"/>
              </w:rPr>
              <w:t>(Odd Semester)</w:t>
            </w:r>
          </w:p>
        </w:tc>
      </w:tr>
      <w:tr w:rsidR="00A20DCD" w:rsidRPr="00394A60" w:rsidTr="00394A60">
        <w:trPr>
          <w:trHeight w:val="246"/>
          <w:jc w:val="center"/>
        </w:trPr>
        <w:tc>
          <w:tcPr>
            <w:tcW w:w="3024" w:type="dxa"/>
            <w:vAlign w:val="center"/>
          </w:tcPr>
          <w:p w:rsidR="00A20DCD" w:rsidRPr="00394A60" w:rsidRDefault="005913AE">
            <w:pPr>
              <w:spacing w:after="0"/>
              <w:rPr>
                <w:rFonts w:hint="eastAsia"/>
                <w:sz w:val="26"/>
              </w:rPr>
            </w:pPr>
            <w:r w:rsidRPr="00394A60">
              <w:rPr>
                <w:sz w:val="25"/>
              </w:rPr>
              <w:t>Submission date</w:t>
            </w:r>
          </w:p>
        </w:tc>
        <w:tc>
          <w:tcPr>
            <w:tcW w:w="6192" w:type="dxa"/>
            <w:vAlign w:val="center"/>
          </w:tcPr>
          <w:p w:rsidR="00A20DCD" w:rsidRPr="00394A60" w:rsidRDefault="005913AE">
            <w:pPr>
              <w:spacing w:after="0"/>
              <w:rPr>
                <w:rFonts w:hint="eastAsia"/>
                <w:sz w:val="26"/>
              </w:rPr>
            </w:pPr>
            <w:r w:rsidRPr="00394A60">
              <w:rPr>
                <w:sz w:val="25"/>
              </w:rPr>
              <w:t>15 October 2026</w:t>
            </w:r>
          </w:p>
        </w:tc>
      </w:tr>
    </w:tbl>
    <w:p w:rsidR="00A20DCD" w:rsidRPr="00394A60" w:rsidRDefault="00A20DCD">
      <w:pPr>
        <w:spacing w:after="20"/>
        <w:rPr>
          <w:rFonts w:hint="eastAsia"/>
          <w:sz w:val="26"/>
        </w:rPr>
      </w:pPr>
    </w:p>
    <w:p w:rsidR="00A20DCD" w:rsidRDefault="005913AE">
      <w:pPr>
        <w:rPr>
          <w:rFonts w:hint="eastAsia"/>
        </w:rPr>
      </w:pPr>
      <w:r>
        <w:br w:type="page"/>
      </w:r>
    </w:p>
    <w:p w:rsidR="00A20DCD" w:rsidRDefault="005913AE">
      <w:pPr>
        <w:pStyle w:val="Heading1"/>
      </w:pPr>
      <w:r>
        <w:lastRenderedPageBreak/>
        <w:t>Abstract</w:t>
      </w:r>
    </w:p>
    <w:p w:rsidR="00A20DCD" w:rsidRDefault="005913AE">
      <w:pPr>
        <w:ind w:firstLine="360"/>
        <w:rPr>
          <w:rFonts w:hint="eastAsia"/>
        </w:rPr>
      </w:pPr>
      <w:r>
        <w:t xml:space="preserve">This project presents exploratory data analysis and visualization of the Telco </w:t>
      </w:r>
      <w:r>
        <w:t>Customer Churn dataset to identify patterns associated with customer retention. The dataset contains 7,043 customer records and 21 columns describing demographics, subscribed services, contracts, and billing information. Preprocessing included converting T</w:t>
      </w:r>
      <w:r>
        <w:t>otalCharges to numeric format, handling confirmed blank charge entries associated with zero-tenure customers, checking duplicates and potential outliers, encoding categorical variables, and scaling numerical inputs. Eight EDA visualizations and descriptive</w:t>
      </w:r>
      <w:r>
        <w:t xml:space="preserve"> statistics were used to examine distributions and relationships. A Multilayer Perceptron (MLP) model was trained and compared using validation data. The selected model achieved 79.94% test accuracy and a ROC-AUC of 0.8412. Churn recall was 49.82%, indicat</w:t>
      </w:r>
      <w:r>
        <w:t>ing that additional work is needed to identify more customers who leave. Permutation importance ranked tenure and contract type as the most influential original features.</w:t>
      </w:r>
    </w:p>
    <w:p w:rsidR="00A20DCD" w:rsidRDefault="005913AE">
      <w:pPr>
        <w:rPr>
          <w:rFonts w:hint="eastAsia"/>
        </w:rPr>
      </w:pPr>
      <w:r>
        <w:rPr>
          <w:b/>
        </w:rPr>
        <w:t xml:space="preserve">Keywords: </w:t>
      </w:r>
      <w:r>
        <w:t>exploratory data analysis, customer churn, data visualization, MLP, Deep Le</w:t>
      </w:r>
      <w:r>
        <w:t>arning, permutation importance.</w:t>
      </w:r>
    </w:p>
    <w:p w:rsidR="00A20DCD" w:rsidRDefault="005913AE">
      <w:pPr>
        <w:pStyle w:val="Heading1"/>
      </w:pPr>
      <w:r>
        <w:t>Report Organization</w:t>
      </w:r>
    </w:p>
    <w:p w:rsidR="00A20DCD" w:rsidRDefault="005913AE">
      <w:pPr>
        <w:pStyle w:val="ListBullet"/>
        <w:spacing w:after="40"/>
        <w:rPr>
          <w:rFonts w:hint="eastAsia"/>
        </w:rPr>
      </w:pPr>
      <w:r>
        <w:t>1. Introduction and Objectives</w:t>
      </w:r>
    </w:p>
    <w:p w:rsidR="00A20DCD" w:rsidRDefault="005913AE">
      <w:pPr>
        <w:pStyle w:val="ListBullet"/>
        <w:spacing w:after="40"/>
        <w:rPr>
          <w:rFonts w:hint="eastAsia"/>
        </w:rPr>
      </w:pPr>
      <w:r>
        <w:t>2. Dataset Description</w:t>
      </w:r>
    </w:p>
    <w:p w:rsidR="00A20DCD" w:rsidRDefault="005913AE">
      <w:pPr>
        <w:pStyle w:val="ListBullet"/>
        <w:spacing w:after="40"/>
        <w:rPr>
          <w:rFonts w:hint="eastAsia"/>
        </w:rPr>
      </w:pPr>
      <w:r>
        <w:t>3. Data Understanding and Preprocessing</w:t>
      </w:r>
    </w:p>
    <w:p w:rsidR="00A20DCD" w:rsidRDefault="005913AE">
      <w:pPr>
        <w:pStyle w:val="ListBullet"/>
        <w:spacing w:after="40"/>
        <w:rPr>
          <w:rFonts w:hint="eastAsia"/>
        </w:rPr>
      </w:pPr>
      <w:r>
        <w:t>4. Exploratory Data Analysis and Visualization</w:t>
      </w:r>
    </w:p>
    <w:p w:rsidR="00A20DCD" w:rsidRDefault="005913AE">
      <w:pPr>
        <w:pStyle w:val="ListBullet"/>
        <w:spacing w:after="40"/>
        <w:rPr>
          <w:rFonts w:hint="eastAsia"/>
        </w:rPr>
      </w:pPr>
      <w:r>
        <w:t>5. Deep Learning Model Development</w:t>
      </w:r>
    </w:p>
    <w:p w:rsidR="00A20DCD" w:rsidRDefault="005913AE">
      <w:pPr>
        <w:pStyle w:val="ListBullet"/>
        <w:spacing w:after="40"/>
        <w:rPr>
          <w:rFonts w:hint="eastAsia"/>
        </w:rPr>
      </w:pPr>
      <w:r>
        <w:t xml:space="preserve">6. Model Evaluation and </w:t>
      </w:r>
      <w:r>
        <w:t>Results</w:t>
      </w:r>
    </w:p>
    <w:p w:rsidR="00A20DCD" w:rsidRDefault="005913AE">
      <w:pPr>
        <w:pStyle w:val="ListBullet"/>
        <w:spacing w:after="40"/>
        <w:rPr>
          <w:rFonts w:hint="eastAsia"/>
        </w:rPr>
      </w:pPr>
      <w:r>
        <w:t>7. Conclusion and Future Scope</w:t>
      </w:r>
    </w:p>
    <w:p w:rsidR="00A20DCD" w:rsidRDefault="005913AE">
      <w:pPr>
        <w:pStyle w:val="ListBullet"/>
        <w:spacing w:after="40"/>
        <w:rPr>
          <w:rFonts w:hint="eastAsia"/>
        </w:rPr>
      </w:pPr>
      <w:r>
        <w:t>8. Literature Review</w:t>
      </w:r>
    </w:p>
    <w:p w:rsidR="00A20DCD" w:rsidRDefault="005913AE">
      <w:pPr>
        <w:pStyle w:val="ListBullet"/>
        <w:spacing w:after="40"/>
        <w:rPr>
          <w:rFonts w:hint="eastAsia"/>
        </w:rPr>
      </w:pPr>
      <w:r>
        <w:t>9. References</w:t>
      </w:r>
    </w:p>
    <w:p w:rsidR="00A20DCD" w:rsidRDefault="005913AE">
      <w:pPr>
        <w:pStyle w:val="ListBullet"/>
        <w:spacing w:after="40"/>
        <w:rPr>
          <w:rFonts w:hint="eastAsia"/>
        </w:rPr>
      </w:pPr>
      <w:r>
        <w:t>Appendix A. Code and Reproducibility</w:t>
      </w:r>
    </w:p>
    <w:p w:rsidR="00A20DCD" w:rsidRDefault="005913AE">
      <w:pPr>
        <w:pStyle w:val="Heading1"/>
      </w:pPr>
      <w:r>
        <w:t>1. Introduction and Objectives</w:t>
      </w:r>
    </w:p>
    <w:p w:rsidR="00A20DCD" w:rsidRDefault="005913AE">
      <w:pPr>
        <w:pStyle w:val="Heading2"/>
      </w:pPr>
      <w:r>
        <w:t>1.1 Introduction</w:t>
      </w:r>
    </w:p>
    <w:p w:rsidR="00A20DCD" w:rsidRDefault="005913AE">
      <w:pPr>
        <w:rPr>
          <w:rFonts w:hint="eastAsia"/>
        </w:rPr>
      </w:pPr>
      <w:r>
        <w:t>Customer churn occurs when a customer stops using a company’s service. For a telecommunications p</w:t>
      </w:r>
      <w:r>
        <w:t>rovider, understanding customer churn can support customer-retention planning, service improvement, and more focused outreach. The selected Telco Customer Churn dataset contains customer demographics, service subscriptions, account details, contract inform</w:t>
      </w:r>
      <w:r>
        <w:t>ation, and billing variables. The Churn field identifies whether a customer left within the period described by the dataset [1].</w:t>
      </w:r>
    </w:p>
    <w:p w:rsidR="00A20DCD" w:rsidRDefault="005913AE">
      <w:pPr>
        <w:pStyle w:val="Heading2"/>
      </w:pPr>
      <w:r>
        <w:t>1.2 Problem Statement</w:t>
      </w:r>
    </w:p>
    <w:p w:rsidR="00A20DCD" w:rsidRDefault="005913AE">
      <w:pPr>
        <w:rPr>
          <w:rFonts w:hint="eastAsia"/>
        </w:rPr>
      </w:pPr>
      <w:r>
        <w:t xml:space="preserve">The project investigates patterns associated with customer churn and develops a Deep Learning classifier </w:t>
      </w:r>
      <w:r>
        <w:t>that estimates whether a customer is likely to churn. The analysis must explore data quality, variable distributions, relationships between variables, and the predictive performance and limitations of the selected model.</w:t>
      </w:r>
    </w:p>
    <w:p w:rsidR="00A20DCD" w:rsidRDefault="005913AE">
      <w:pPr>
        <w:pStyle w:val="Heading2"/>
      </w:pPr>
      <w:r>
        <w:t>1.3 Aim</w:t>
      </w:r>
    </w:p>
    <w:p w:rsidR="00A20DCD" w:rsidRDefault="005913AE">
      <w:pPr>
        <w:rPr>
          <w:rFonts w:hint="eastAsia"/>
        </w:rPr>
      </w:pPr>
      <w:r>
        <w:t>To apply exploratory data a</w:t>
      </w:r>
      <w:r>
        <w:t>nalysis, statistical analysis, data visualization, and a Deep Learning model to a real-world customer dataset and derive evidence-based insights related to customer churn.</w:t>
      </w:r>
    </w:p>
    <w:p w:rsidR="00A20DCD" w:rsidRDefault="005913AE">
      <w:pPr>
        <w:pStyle w:val="Heading2"/>
      </w:pPr>
      <w:r>
        <w:t>1.4 Objectives</w:t>
      </w:r>
    </w:p>
    <w:p w:rsidR="00A20DCD" w:rsidRDefault="005913AE">
      <w:pPr>
        <w:pStyle w:val="ListBullet"/>
        <w:spacing w:after="40"/>
        <w:rPr>
          <w:rFonts w:hint="eastAsia"/>
        </w:rPr>
      </w:pPr>
      <w:r>
        <w:t>Inspect the dataset structure, fields, data types, and statistical su</w:t>
      </w:r>
      <w:r>
        <w:t>mmaries.</w:t>
      </w:r>
    </w:p>
    <w:p w:rsidR="00A20DCD" w:rsidRDefault="005913AE">
      <w:pPr>
        <w:pStyle w:val="ListBullet"/>
        <w:spacing w:after="40"/>
        <w:rPr>
          <w:rFonts w:hint="eastAsia"/>
        </w:rPr>
      </w:pPr>
      <w:r>
        <w:t>Handle blank values and check duplicate records and potential outliers.</w:t>
      </w:r>
    </w:p>
    <w:p w:rsidR="00A20DCD" w:rsidRDefault="005913AE">
      <w:pPr>
        <w:pStyle w:val="ListBullet"/>
        <w:spacing w:after="40"/>
        <w:rPr>
          <w:rFonts w:hint="eastAsia"/>
        </w:rPr>
      </w:pPr>
      <w:r>
        <w:t>Explore numerical distributions, categorical frequencies, and relationships between features.</w:t>
      </w:r>
    </w:p>
    <w:p w:rsidR="00A20DCD" w:rsidRDefault="005913AE">
      <w:pPr>
        <w:pStyle w:val="ListBullet"/>
        <w:spacing w:after="40"/>
        <w:rPr>
          <w:rFonts w:hint="eastAsia"/>
        </w:rPr>
      </w:pPr>
      <w:r>
        <w:t>Create at least five meaningful data visualizations and explain each one.</w:t>
      </w:r>
    </w:p>
    <w:p w:rsidR="00A20DCD" w:rsidRDefault="005913AE">
      <w:pPr>
        <w:pStyle w:val="ListBullet"/>
        <w:spacing w:after="40"/>
        <w:rPr>
          <w:rFonts w:hint="eastAsia"/>
        </w:rPr>
      </w:pPr>
      <w:r>
        <w:t>Prepare</w:t>
      </w:r>
      <w:r>
        <w:t xml:space="preserve"> train, validation, and test partitions with suitable categorical encoding and numerical scaling.</w:t>
      </w:r>
    </w:p>
    <w:p w:rsidR="00A20DCD" w:rsidRDefault="005913AE">
      <w:pPr>
        <w:pStyle w:val="ListBullet"/>
        <w:spacing w:after="40"/>
        <w:rPr>
          <w:rFonts w:hint="eastAsia"/>
        </w:rPr>
      </w:pPr>
      <w:r>
        <w:t>Develop and compare MLP configurations using validation data.</w:t>
      </w:r>
    </w:p>
    <w:p w:rsidR="00A20DCD" w:rsidRDefault="005913AE">
      <w:pPr>
        <w:pStyle w:val="ListBullet"/>
        <w:spacing w:after="40"/>
        <w:rPr>
          <w:rFonts w:hint="eastAsia"/>
        </w:rPr>
      </w:pPr>
      <w:r>
        <w:t>Evaluate final test performance using accuracy, precision, recall, F1-score, ROC-AUC, and a conf</w:t>
      </w:r>
      <w:r>
        <w:t>usion matrix.</w:t>
      </w:r>
    </w:p>
    <w:p w:rsidR="00A20DCD" w:rsidRDefault="005913AE">
      <w:pPr>
        <w:pStyle w:val="ListBullet"/>
        <w:spacing w:after="40"/>
        <w:rPr>
          <w:rFonts w:hint="eastAsia"/>
        </w:rPr>
      </w:pPr>
      <w:r>
        <w:t>Identify influential features and discuss limitations and future improvements.</w:t>
      </w:r>
    </w:p>
    <w:p w:rsidR="00A20DCD" w:rsidRDefault="005913AE">
      <w:pPr>
        <w:pStyle w:val="Heading1"/>
      </w:pPr>
      <w:r>
        <w:t>2. Dataset Description</w:t>
      </w:r>
    </w:p>
    <w:p w:rsidR="00A20DCD" w:rsidRDefault="005913AE">
      <w:pPr>
        <w:rPr>
          <w:rFonts w:hint="eastAsia"/>
        </w:rPr>
      </w:pPr>
      <w:r>
        <w:t>The project uses the Telco Customer Churn dataset published on Kaggle by BlastChar [1]. The source describes each row as a customer record a</w:t>
      </w:r>
      <w:r>
        <w:t>nd includes service usage, account information, demographic fields, and the Churn target. The downloaded data contained 7,043 rows and 21 columns.</w:t>
      </w:r>
    </w:p>
    <w:tbl>
      <w:tblPr>
        <w:tblStyle w:val="TableGrid"/>
        <w:tblW w:w="0" w:type="auto"/>
        <w:jc w:val="center"/>
        <w:tblLook w:val="04A0"/>
      </w:tblPr>
      <w:tblGrid>
        <w:gridCol w:w="2304"/>
        <w:gridCol w:w="6912"/>
      </w:tblGrid>
      <w:tr w:rsidR="00A20DCD">
        <w:trPr>
          <w:jc w:val="center"/>
        </w:trPr>
        <w:tc>
          <w:tcPr>
            <w:tcW w:w="2304" w:type="dxa"/>
            <w:shd w:val="clear" w:color="auto" w:fill="17365D"/>
            <w:vAlign w:val="center"/>
          </w:tcPr>
          <w:p w:rsidR="00A20DCD" w:rsidRDefault="005913AE">
            <w:pPr>
              <w:spacing w:after="0"/>
              <w:rPr>
                <w:rFonts w:hint="eastAsia"/>
              </w:rPr>
            </w:pPr>
            <w:r>
              <w:rPr>
                <w:b/>
                <w:color w:val="FFFFFF"/>
                <w:sz w:val="18"/>
              </w:rPr>
              <w:t>Item</w:t>
            </w:r>
          </w:p>
        </w:tc>
        <w:tc>
          <w:tcPr>
            <w:tcW w:w="6912" w:type="dxa"/>
            <w:shd w:val="clear" w:color="auto" w:fill="17365D"/>
            <w:vAlign w:val="center"/>
          </w:tcPr>
          <w:p w:rsidR="00A20DCD" w:rsidRDefault="005913AE">
            <w:pPr>
              <w:spacing w:after="0"/>
              <w:rPr>
                <w:rFonts w:hint="eastAsia"/>
              </w:rPr>
            </w:pPr>
            <w:r>
              <w:rPr>
                <w:b/>
                <w:color w:val="FFFFFF"/>
                <w:sz w:val="18"/>
              </w:rPr>
              <w:t>Description</w:t>
            </w:r>
          </w:p>
        </w:tc>
      </w:tr>
      <w:tr w:rsidR="00A20DCD">
        <w:trPr>
          <w:jc w:val="center"/>
        </w:trPr>
        <w:tc>
          <w:tcPr>
            <w:tcW w:w="2304" w:type="dxa"/>
            <w:vAlign w:val="center"/>
          </w:tcPr>
          <w:p w:rsidR="00A20DCD" w:rsidRDefault="005913AE">
            <w:pPr>
              <w:spacing w:after="0"/>
              <w:rPr>
                <w:rFonts w:hint="eastAsia"/>
              </w:rPr>
            </w:pPr>
            <w:r>
              <w:rPr>
                <w:sz w:val="18"/>
              </w:rPr>
              <w:t>Dataset name</w:t>
            </w:r>
          </w:p>
        </w:tc>
        <w:tc>
          <w:tcPr>
            <w:tcW w:w="6912" w:type="dxa"/>
            <w:vAlign w:val="center"/>
          </w:tcPr>
          <w:p w:rsidR="00A20DCD" w:rsidRDefault="005913AE">
            <w:pPr>
              <w:spacing w:after="0"/>
              <w:rPr>
                <w:rFonts w:hint="eastAsia"/>
              </w:rPr>
            </w:pPr>
            <w:r>
              <w:rPr>
                <w:sz w:val="18"/>
              </w:rPr>
              <w:t>Telco Customer Churn</w:t>
            </w:r>
          </w:p>
        </w:tc>
      </w:tr>
      <w:tr w:rsidR="00A20DCD">
        <w:trPr>
          <w:jc w:val="center"/>
        </w:trPr>
        <w:tc>
          <w:tcPr>
            <w:tcW w:w="2304" w:type="dxa"/>
            <w:shd w:val="clear" w:color="auto" w:fill="F0F4F8"/>
            <w:vAlign w:val="center"/>
          </w:tcPr>
          <w:p w:rsidR="00A20DCD" w:rsidRDefault="005913AE">
            <w:pPr>
              <w:spacing w:after="0"/>
              <w:rPr>
                <w:rFonts w:hint="eastAsia"/>
              </w:rPr>
            </w:pPr>
            <w:r>
              <w:rPr>
                <w:sz w:val="18"/>
              </w:rPr>
              <w:t>Source</w:t>
            </w:r>
          </w:p>
        </w:tc>
        <w:tc>
          <w:tcPr>
            <w:tcW w:w="6912" w:type="dxa"/>
            <w:shd w:val="clear" w:color="auto" w:fill="F0F4F8"/>
            <w:vAlign w:val="center"/>
          </w:tcPr>
          <w:p w:rsidR="00A20DCD" w:rsidRDefault="005913AE">
            <w:pPr>
              <w:spacing w:after="0"/>
              <w:rPr>
                <w:rFonts w:hint="eastAsia"/>
              </w:rPr>
            </w:pPr>
            <w:r>
              <w:rPr>
                <w:sz w:val="18"/>
              </w:rPr>
              <w:t xml:space="preserve">Kaggle — </w:t>
            </w:r>
            <w:r>
              <w:rPr>
                <w:sz w:val="18"/>
              </w:rPr>
              <w:t>https://www.kaggle.com/datasets/blastchar/telco-customer-churn</w:t>
            </w:r>
          </w:p>
        </w:tc>
      </w:tr>
      <w:tr w:rsidR="00A20DCD">
        <w:trPr>
          <w:jc w:val="center"/>
        </w:trPr>
        <w:tc>
          <w:tcPr>
            <w:tcW w:w="2304" w:type="dxa"/>
            <w:vAlign w:val="center"/>
          </w:tcPr>
          <w:p w:rsidR="00A20DCD" w:rsidRDefault="005913AE">
            <w:pPr>
              <w:spacing w:after="0"/>
              <w:rPr>
                <w:rFonts w:hint="eastAsia"/>
              </w:rPr>
            </w:pPr>
            <w:r>
              <w:rPr>
                <w:sz w:val="18"/>
              </w:rPr>
              <w:t>Rows / records</w:t>
            </w:r>
          </w:p>
        </w:tc>
        <w:tc>
          <w:tcPr>
            <w:tcW w:w="6912" w:type="dxa"/>
            <w:vAlign w:val="center"/>
          </w:tcPr>
          <w:p w:rsidR="00A20DCD" w:rsidRDefault="005913AE">
            <w:pPr>
              <w:spacing w:after="0"/>
              <w:rPr>
                <w:rFonts w:hint="eastAsia"/>
              </w:rPr>
            </w:pPr>
            <w:r>
              <w:rPr>
                <w:sz w:val="18"/>
              </w:rPr>
              <w:t>7,043</w:t>
            </w:r>
          </w:p>
        </w:tc>
      </w:tr>
      <w:tr w:rsidR="00A20DCD">
        <w:trPr>
          <w:jc w:val="center"/>
        </w:trPr>
        <w:tc>
          <w:tcPr>
            <w:tcW w:w="2304" w:type="dxa"/>
            <w:shd w:val="clear" w:color="auto" w:fill="F0F4F8"/>
            <w:vAlign w:val="center"/>
          </w:tcPr>
          <w:p w:rsidR="00A20DCD" w:rsidRDefault="005913AE">
            <w:pPr>
              <w:spacing w:after="0"/>
              <w:rPr>
                <w:rFonts w:hint="eastAsia"/>
              </w:rPr>
            </w:pPr>
            <w:r>
              <w:rPr>
                <w:sz w:val="18"/>
              </w:rPr>
              <w:t>Columns / fields</w:t>
            </w:r>
          </w:p>
        </w:tc>
        <w:tc>
          <w:tcPr>
            <w:tcW w:w="6912" w:type="dxa"/>
            <w:shd w:val="clear" w:color="auto" w:fill="F0F4F8"/>
            <w:vAlign w:val="center"/>
          </w:tcPr>
          <w:p w:rsidR="00A20DCD" w:rsidRDefault="005913AE">
            <w:pPr>
              <w:spacing w:after="0"/>
              <w:rPr>
                <w:rFonts w:hint="eastAsia"/>
              </w:rPr>
            </w:pPr>
            <w:r>
              <w:rPr>
                <w:sz w:val="18"/>
              </w:rPr>
              <w:t>21</w:t>
            </w:r>
          </w:p>
        </w:tc>
      </w:tr>
      <w:tr w:rsidR="00A20DCD">
        <w:trPr>
          <w:jc w:val="center"/>
        </w:trPr>
        <w:tc>
          <w:tcPr>
            <w:tcW w:w="2304" w:type="dxa"/>
            <w:vAlign w:val="center"/>
          </w:tcPr>
          <w:p w:rsidR="00A20DCD" w:rsidRDefault="005913AE">
            <w:pPr>
              <w:spacing w:after="0"/>
              <w:rPr>
                <w:rFonts w:hint="eastAsia"/>
              </w:rPr>
            </w:pPr>
            <w:r>
              <w:rPr>
                <w:sz w:val="18"/>
              </w:rPr>
              <w:t>Original identifier</w:t>
            </w:r>
          </w:p>
        </w:tc>
        <w:tc>
          <w:tcPr>
            <w:tcW w:w="6912" w:type="dxa"/>
            <w:vAlign w:val="center"/>
          </w:tcPr>
          <w:p w:rsidR="00A20DCD" w:rsidRDefault="005913AE">
            <w:pPr>
              <w:spacing w:after="0"/>
              <w:rPr>
                <w:rFonts w:hint="eastAsia"/>
              </w:rPr>
            </w:pPr>
            <w:r>
              <w:rPr>
                <w:sz w:val="18"/>
              </w:rPr>
              <w:t>customerID (excluded from model input)</w:t>
            </w:r>
          </w:p>
        </w:tc>
      </w:tr>
      <w:tr w:rsidR="00A20DCD">
        <w:trPr>
          <w:jc w:val="center"/>
        </w:trPr>
        <w:tc>
          <w:tcPr>
            <w:tcW w:w="2304" w:type="dxa"/>
            <w:shd w:val="clear" w:color="auto" w:fill="F0F4F8"/>
            <w:vAlign w:val="center"/>
          </w:tcPr>
          <w:p w:rsidR="00A20DCD" w:rsidRDefault="005913AE">
            <w:pPr>
              <w:spacing w:after="0"/>
              <w:rPr>
                <w:rFonts w:hint="eastAsia"/>
              </w:rPr>
            </w:pPr>
            <w:r>
              <w:rPr>
                <w:sz w:val="18"/>
              </w:rPr>
              <w:t>Target variable</w:t>
            </w:r>
          </w:p>
        </w:tc>
        <w:tc>
          <w:tcPr>
            <w:tcW w:w="6912" w:type="dxa"/>
            <w:shd w:val="clear" w:color="auto" w:fill="F0F4F8"/>
            <w:vAlign w:val="center"/>
          </w:tcPr>
          <w:p w:rsidR="00A20DCD" w:rsidRDefault="005913AE">
            <w:pPr>
              <w:spacing w:after="0"/>
              <w:rPr>
                <w:rFonts w:hint="eastAsia"/>
              </w:rPr>
            </w:pPr>
            <w:r>
              <w:rPr>
                <w:sz w:val="18"/>
              </w:rPr>
              <w:t>Churn: No / Yes</w:t>
            </w:r>
          </w:p>
        </w:tc>
      </w:tr>
      <w:tr w:rsidR="00A20DCD">
        <w:trPr>
          <w:jc w:val="center"/>
        </w:trPr>
        <w:tc>
          <w:tcPr>
            <w:tcW w:w="2304" w:type="dxa"/>
            <w:vAlign w:val="center"/>
          </w:tcPr>
          <w:p w:rsidR="00A20DCD" w:rsidRDefault="005913AE">
            <w:pPr>
              <w:spacing w:after="0"/>
              <w:rPr>
                <w:rFonts w:hint="eastAsia"/>
              </w:rPr>
            </w:pPr>
            <w:r>
              <w:rPr>
                <w:sz w:val="18"/>
              </w:rPr>
              <w:t>Task</w:t>
            </w:r>
          </w:p>
        </w:tc>
        <w:tc>
          <w:tcPr>
            <w:tcW w:w="6912" w:type="dxa"/>
            <w:vAlign w:val="center"/>
          </w:tcPr>
          <w:p w:rsidR="00A20DCD" w:rsidRDefault="005913AE">
            <w:pPr>
              <w:spacing w:after="0"/>
              <w:rPr>
                <w:rFonts w:hint="eastAsia"/>
              </w:rPr>
            </w:pPr>
            <w:r>
              <w:rPr>
                <w:sz w:val="18"/>
              </w:rPr>
              <w:t>Binary classification</w:t>
            </w:r>
          </w:p>
        </w:tc>
      </w:tr>
      <w:tr w:rsidR="00A20DCD">
        <w:trPr>
          <w:jc w:val="center"/>
        </w:trPr>
        <w:tc>
          <w:tcPr>
            <w:tcW w:w="2304" w:type="dxa"/>
            <w:shd w:val="clear" w:color="auto" w:fill="F0F4F8"/>
            <w:vAlign w:val="center"/>
          </w:tcPr>
          <w:p w:rsidR="00A20DCD" w:rsidRDefault="005913AE">
            <w:pPr>
              <w:spacing w:after="0"/>
              <w:rPr>
                <w:rFonts w:hint="eastAsia"/>
              </w:rPr>
            </w:pPr>
            <w:r>
              <w:rPr>
                <w:sz w:val="18"/>
              </w:rPr>
              <w:t>Data type</w:t>
            </w:r>
          </w:p>
        </w:tc>
        <w:tc>
          <w:tcPr>
            <w:tcW w:w="6912" w:type="dxa"/>
            <w:shd w:val="clear" w:color="auto" w:fill="F0F4F8"/>
            <w:vAlign w:val="center"/>
          </w:tcPr>
          <w:p w:rsidR="00A20DCD" w:rsidRDefault="005913AE">
            <w:pPr>
              <w:spacing w:after="0"/>
              <w:rPr>
                <w:rFonts w:hint="eastAsia"/>
              </w:rPr>
            </w:pPr>
            <w:r>
              <w:rPr>
                <w:sz w:val="18"/>
              </w:rPr>
              <w:t>Structured/tabular, with numerical and categorical fields</w:t>
            </w:r>
          </w:p>
        </w:tc>
      </w:tr>
    </w:tbl>
    <w:p w:rsidR="00A20DCD" w:rsidRDefault="00A20DCD">
      <w:pPr>
        <w:spacing w:after="20"/>
        <w:rPr>
          <w:rFonts w:hint="eastAsia"/>
        </w:rPr>
      </w:pPr>
    </w:p>
    <w:p w:rsidR="00A20DCD" w:rsidRDefault="005913AE">
      <w:pPr>
        <w:pStyle w:val="Heading2"/>
      </w:pPr>
      <w:r>
        <w:t>2.1 Main Feature Groups</w:t>
      </w:r>
    </w:p>
    <w:tbl>
      <w:tblPr>
        <w:tblStyle w:val="TableGrid"/>
        <w:tblW w:w="0" w:type="auto"/>
        <w:jc w:val="center"/>
        <w:tblLook w:val="04A0"/>
      </w:tblPr>
      <w:tblGrid>
        <w:gridCol w:w="2376"/>
        <w:gridCol w:w="4608"/>
        <w:gridCol w:w="2376"/>
      </w:tblGrid>
      <w:tr w:rsidR="00A20DCD">
        <w:trPr>
          <w:jc w:val="center"/>
        </w:trPr>
        <w:tc>
          <w:tcPr>
            <w:tcW w:w="2376" w:type="dxa"/>
            <w:shd w:val="clear" w:color="auto" w:fill="17365D"/>
            <w:vAlign w:val="center"/>
          </w:tcPr>
          <w:p w:rsidR="00A20DCD" w:rsidRDefault="005913AE">
            <w:pPr>
              <w:spacing w:after="0"/>
              <w:rPr>
                <w:rFonts w:hint="eastAsia"/>
              </w:rPr>
            </w:pPr>
            <w:r>
              <w:rPr>
                <w:b/>
                <w:color w:val="FFFFFF"/>
                <w:sz w:val="18"/>
              </w:rPr>
              <w:t>Feature group</w:t>
            </w:r>
          </w:p>
        </w:tc>
        <w:tc>
          <w:tcPr>
            <w:tcW w:w="4608" w:type="dxa"/>
            <w:shd w:val="clear" w:color="auto" w:fill="17365D"/>
            <w:vAlign w:val="center"/>
          </w:tcPr>
          <w:p w:rsidR="00A20DCD" w:rsidRDefault="005913AE">
            <w:pPr>
              <w:spacing w:after="0"/>
              <w:rPr>
                <w:rFonts w:hint="eastAsia"/>
              </w:rPr>
            </w:pPr>
            <w:r>
              <w:rPr>
                <w:b/>
                <w:color w:val="FFFFFF"/>
                <w:sz w:val="18"/>
              </w:rPr>
              <w:t>Examples</w:t>
            </w:r>
          </w:p>
        </w:tc>
        <w:tc>
          <w:tcPr>
            <w:tcW w:w="2376" w:type="dxa"/>
            <w:shd w:val="clear" w:color="auto" w:fill="17365D"/>
            <w:vAlign w:val="center"/>
          </w:tcPr>
          <w:p w:rsidR="00A20DCD" w:rsidRDefault="005913AE">
            <w:pPr>
              <w:spacing w:after="0"/>
              <w:rPr>
                <w:rFonts w:hint="eastAsia"/>
              </w:rPr>
            </w:pPr>
            <w:r>
              <w:rPr>
                <w:b/>
                <w:color w:val="FFFFFF"/>
                <w:sz w:val="18"/>
              </w:rPr>
              <w:t>Data type / role</w:t>
            </w:r>
          </w:p>
        </w:tc>
      </w:tr>
      <w:tr w:rsidR="00A20DCD">
        <w:trPr>
          <w:jc w:val="center"/>
        </w:trPr>
        <w:tc>
          <w:tcPr>
            <w:tcW w:w="2376" w:type="dxa"/>
            <w:vAlign w:val="center"/>
          </w:tcPr>
          <w:p w:rsidR="00A20DCD" w:rsidRDefault="005913AE">
            <w:pPr>
              <w:spacing w:after="0"/>
              <w:rPr>
                <w:rFonts w:hint="eastAsia"/>
              </w:rPr>
            </w:pPr>
            <w:r>
              <w:rPr>
                <w:sz w:val="18"/>
              </w:rPr>
              <w:t>Customer demographics</w:t>
            </w:r>
          </w:p>
        </w:tc>
        <w:tc>
          <w:tcPr>
            <w:tcW w:w="4608" w:type="dxa"/>
            <w:vAlign w:val="center"/>
          </w:tcPr>
          <w:p w:rsidR="00A20DCD" w:rsidRDefault="005913AE">
            <w:pPr>
              <w:spacing w:after="0"/>
              <w:rPr>
                <w:rFonts w:hint="eastAsia"/>
              </w:rPr>
            </w:pPr>
            <w:r>
              <w:rPr>
                <w:sz w:val="18"/>
              </w:rPr>
              <w:t>gender, SeniorCitizen, Partner, Dependents</w:t>
            </w:r>
          </w:p>
        </w:tc>
        <w:tc>
          <w:tcPr>
            <w:tcW w:w="2376" w:type="dxa"/>
            <w:vAlign w:val="center"/>
          </w:tcPr>
          <w:p w:rsidR="00A20DCD" w:rsidRDefault="005913AE">
            <w:pPr>
              <w:spacing w:after="0"/>
              <w:rPr>
                <w:rFonts w:hint="eastAsia"/>
              </w:rPr>
            </w:pPr>
            <w:r>
              <w:rPr>
                <w:sz w:val="18"/>
              </w:rPr>
              <w:t>Categorical / binary</w:t>
            </w:r>
          </w:p>
        </w:tc>
      </w:tr>
      <w:tr w:rsidR="00A20DCD">
        <w:trPr>
          <w:jc w:val="center"/>
        </w:trPr>
        <w:tc>
          <w:tcPr>
            <w:tcW w:w="2376" w:type="dxa"/>
            <w:shd w:val="clear" w:color="auto" w:fill="F0F4F8"/>
            <w:vAlign w:val="center"/>
          </w:tcPr>
          <w:p w:rsidR="00A20DCD" w:rsidRDefault="005913AE">
            <w:pPr>
              <w:spacing w:after="0"/>
              <w:rPr>
                <w:rFonts w:hint="eastAsia"/>
              </w:rPr>
            </w:pPr>
            <w:r>
              <w:rPr>
                <w:sz w:val="18"/>
              </w:rPr>
              <w:t>Service subscriptions</w:t>
            </w:r>
          </w:p>
        </w:tc>
        <w:tc>
          <w:tcPr>
            <w:tcW w:w="4608" w:type="dxa"/>
            <w:shd w:val="clear" w:color="auto" w:fill="F0F4F8"/>
            <w:vAlign w:val="center"/>
          </w:tcPr>
          <w:p w:rsidR="00A20DCD" w:rsidRDefault="005913AE">
            <w:pPr>
              <w:spacing w:after="0"/>
              <w:rPr>
                <w:rFonts w:hint="eastAsia"/>
              </w:rPr>
            </w:pPr>
            <w:r>
              <w:rPr>
                <w:sz w:val="18"/>
              </w:rPr>
              <w:t xml:space="preserve">PhoneService, </w:t>
            </w:r>
            <w:r>
              <w:rPr>
                <w:sz w:val="18"/>
              </w:rPr>
              <w:t>InternetService, OnlineSecurity, TechSupport, StreamingTV</w:t>
            </w:r>
          </w:p>
        </w:tc>
        <w:tc>
          <w:tcPr>
            <w:tcW w:w="2376" w:type="dxa"/>
            <w:shd w:val="clear" w:color="auto" w:fill="F0F4F8"/>
            <w:vAlign w:val="center"/>
          </w:tcPr>
          <w:p w:rsidR="00A20DCD" w:rsidRDefault="005913AE">
            <w:pPr>
              <w:spacing w:after="0"/>
              <w:rPr>
                <w:rFonts w:hint="eastAsia"/>
              </w:rPr>
            </w:pPr>
            <w:r>
              <w:rPr>
                <w:sz w:val="18"/>
              </w:rPr>
              <w:t>Categorical</w:t>
            </w:r>
          </w:p>
        </w:tc>
      </w:tr>
      <w:tr w:rsidR="00A20DCD">
        <w:trPr>
          <w:jc w:val="center"/>
        </w:trPr>
        <w:tc>
          <w:tcPr>
            <w:tcW w:w="2376" w:type="dxa"/>
            <w:vAlign w:val="center"/>
          </w:tcPr>
          <w:p w:rsidR="00A20DCD" w:rsidRDefault="005913AE">
            <w:pPr>
              <w:spacing w:after="0"/>
              <w:rPr>
                <w:rFonts w:hint="eastAsia"/>
              </w:rPr>
            </w:pPr>
            <w:r>
              <w:rPr>
                <w:sz w:val="18"/>
              </w:rPr>
              <w:t>Account and contract</w:t>
            </w:r>
          </w:p>
        </w:tc>
        <w:tc>
          <w:tcPr>
            <w:tcW w:w="4608" w:type="dxa"/>
            <w:vAlign w:val="center"/>
          </w:tcPr>
          <w:p w:rsidR="00A20DCD" w:rsidRDefault="005913AE">
            <w:pPr>
              <w:spacing w:after="0"/>
              <w:rPr>
                <w:rFonts w:hint="eastAsia"/>
              </w:rPr>
            </w:pPr>
            <w:r>
              <w:rPr>
                <w:sz w:val="18"/>
              </w:rPr>
              <w:t>tenure, Contract, PaperlessBilling, PaymentMethod</w:t>
            </w:r>
          </w:p>
        </w:tc>
        <w:tc>
          <w:tcPr>
            <w:tcW w:w="2376" w:type="dxa"/>
            <w:vAlign w:val="center"/>
          </w:tcPr>
          <w:p w:rsidR="00A20DCD" w:rsidRDefault="005913AE">
            <w:pPr>
              <w:spacing w:after="0"/>
              <w:rPr>
                <w:rFonts w:hint="eastAsia"/>
              </w:rPr>
            </w:pPr>
            <w:r>
              <w:rPr>
                <w:sz w:val="18"/>
              </w:rPr>
              <w:t>Numerical and categorical</w:t>
            </w:r>
          </w:p>
        </w:tc>
      </w:tr>
      <w:tr w:rsidR="00A20DCD">
        <w:trPr>
          <w:jc w:val="center"/>
        </w:trPr>
        <w:tc>
          <w:tcPr>
            <w:tcW w:w="2376" w:type="dxa"/>
            <w:shd w:val="clear" w:color="auto" w:fill="F0F4F8"/>
            <w:vAlign w:val="center"/>
          </w:tcPr>
          <w:p w:rsidR="00A20DCD" w:rsidRDefault="005913AE">
            <w:pPr>
              <w:spacing w:after="0"/>
              <w:rPr>
                <w:rFonts w:hint="eastAsia"/>
              </w:rPr>
            </w:pPr>
            <w:r>
              <w:rPr>
                <w:sz w:val="18"/>
              </w:rPr>
              <w:t>Billing</w:t>
            </w:r>
          </w:p>
        </w:tc>
        <w:tc>
          <w:tcPr>
            <w:tcW w:w="4608" w:type="dxa"/>
            <w:shd w:val="clear" w:color="auto" w:fill="F0F4F8"/>
            <w:vAlign w:val="center"/>
          </w:tcPr>
          <w:p w:rsidR="00A20DCD" w:rsidRDefault="005913AE">
            <w:pPr>
              <w:spacing w:after="0"/>
              <w:rPr>
                <w:rFonts w:hint="eastAsia"/>
              </w:rPr>
            </w:pPr>
            <w:r>
              <w:rPr>
                <w:sz w:val="18"/>
              </w:rPr>
              <w:t>MonthlyCharges, TotalCharges</w:t>
            </w:r>
          </w:p>
        </w:tc>
        <w:tc>
          <w:tcPr>
            <w:tcW w:w="2376" w:type="dxa"/>
            <w:shd w:val="clear" w:color="auto" w:fill="F0F4F8"/>
            <w:vAlign w:val="center"/>
          </w:tcPr>
          <w:p w:rsidR="00A20DCD" w:rsidRDefault="005913AE">
            <w:pPr>
              <w:spacing w:after="0"/>
              <w:rPr>
                <w:rFonts w:hint="eastAsia"/>
              </w:rPr>
            </w:pPr>
            <w:r>
              <w:rPr>
                <w:sz w:val="18"/>
              </w:rPr>
              <w:t>Numerical after conversion</w:t>
            </w:r>
          </w:p>
        </w:tc>
      </w:tr>
      <w:tr w:rsidR="00A20DCD">
        <w:trPr>
          <w:jc w:val="center"/>
        </w:trPr>
        <w:tc>
          <w:tcPr>
            <w:tcW w:w="2376" w:type="dxa"/>
            <w:vAlign w:val="center"/>
          </w:tcPr>
          <w:p w:rsidR="00A20DCD" w:rsidRDefault="005913AE">
            <w:pPr>
              <w:spacing w:after="0"/>
              <w:rPr>
                <w:rFonts w:hint="eastAsia"/>
              </w:rPr>
            </w:pPr>
            <w:r>
              <w:rPr>
                <w:sz w:val="18"/>
              </w:rPr>
              <w:t>Target</w:t>
            </w:r>
          </w:p>
        </w:tc>
        <w:tc>
          <w:tcPr>
            <w:tcW w:w="4608" w:type="dxa"/>
            <w:vAlign w:val="center"/>
          </w:tcPr>
          <w:p w:rsidR="00A20DCD" w:rsidRDefault="005913AE">
            <w:pPr>
              <w:spacing w:after="0"/>
              <w:rPr>
                <w:rFonts w:hint="eastAsia"/>
              </w:rPr>
            </w:pPr>
            <w:r>
              <w:rPr>
                <w:sz w:val="18"/>
              </w:rPr>
              <w:t>Churn</w:t>
            </w:r>
          </w:p>
        </w:tc>
        <w:tc>
          <w:tcPr>
            <w:tcW w:w="2376" w:type="dxa"/>
            <w:vAlign w:val="center"/>
          </w:tcPr>
          <w:p w:rsidR="00A20DCD" w:rsidRDefault="005913AE">
            <w:pPr>
              <w:spacing w:after="0"/>
              <w:rPr>
                <w:rFonts w:hint="eastAsia"/>
              </w:rPr>
            </w:pPr>
            <w:r>
              <w:rPr>
                <w:sz w:val="18"/>
              </w:rPr>
              <w:t xml:space="preserve">Binary </w:t>
            </w:r>
            <w:r>
              <w:rPr>
                <w:sz w:val="18"/>
              </w:rPr>
              <w:t>label: No / Yes</w:t>
            </w:r>
          </w:p>
        </w:tc>
      </w:tr>
    </w:tbl>
    <w:p w:rsidR="00A20DCD" w:rsidRDefault="00A20DCD">
      <w:pPr>
        <w:spacing w:after="20"/>
        <w:rPr>
          <w:rFonts w:hint="eastAsia"/>
        </w:rPr>
      </w:pPr>
    </w:p>
    <w:p w:rsidR="00A20DCD" w:rsidRDefault="005913AE">
      <w:pPr>
        <w:rPr>
          <w:rFonts w:hint="eastAsia"/>
        </w:rPr>
      </w:pPr>
      <w:r>
        <w:t>The customerID column was retained for record identification and duplicate checks but excluded from the model predictors because it is an identifier rather than a meaningful customer characteristic.</w:t>
      </w:r>
    </w:p>
    <w:p w:rsidR="00A20DCD" w:rsidRDefault="005913AE">
      <w:pPr>
        <w:pStyle w:val="Heading1"/>
      </w:pPr>
      <w:r>
        <w:t>3. Data Understanding and Preprocessing</w:t>
      </w:r>
    </w:p>
    <w:p w:rsidR="00A20DCD" w:rsidRDefault="005913AE">
      <w:pPr>
        <w:pStyle w:val="Heading2"/>
      </w:pPr>
      <w:r>
        <w:t>3.1 Data Inspection</w:t>
      </w:r>
    </w:p>
    <w:p w:rsidR="00A20DCD" w:rsidRDefault="005913AE">
      <w:pPr>
        <w:rPr>
          <w:rFonts w:hint="eastAsia"/>
        </w:rPr>
      </w:pPr>
      <w:r>
        <w:t>The dataset shape, column names, data types, missing-value counts, duplicate records, and descriptive statistics were inspected with Pandas. The final cleaned dataset retained 7,043 records and 21 columns.</w:t>
      </w:r>
    </w:p>
    <w:p w:rsidR="00A20DCD" w:rsidRDefault="005913AE">
      <w:pPr>
        <w:pStyle w:val="Heading2"/>
      </w:pPr>
      <w:r>
        <w:t>3.2 Missing Values and Type C</w:t>
      </w:r>
      <w:r>
        <w:t>onversion</w:t>
      </w:r>
    </w:p>
    <w:p w:rsidR="00A20DCD" w:rsidRDefault="005913AE">
      <w:pPr>
        <w:rPr>
          <w:rFonts w:hint="eastAsia"/>
        </w:rPr>
      </w:pPr>
      <w:r>
        <w:t xml:space="preserve">The TotalCharges field was initially stored as text. Blank entries were converted to missing values during numeric conversion. The blank entries associated with customers having zero tenure were assigned a value of 0 after inspection, consistent </w:t>
      </w:r>
      <w:r>
        <w:t>with no accumulated tenure-based charges in those records. After cleaning, the final missing-value check reported zero missing values.</w:t>
      </w:r>
    </w:p>
    <w:p w:rsidR="00A20DCD" w:rsidRDefault="005913AE">
      <w:pPr>
        <w:pStyle w:val="Heading2"/>
      </w:pPr>
      <w:r>
        <w:t>3.3 Duplicates and Outliers</w:t>
      </w:r>
    </w:p>
    <w:p w:rsidR="00A20DCD" w:rsidRDefault="005913AE">
      <w:pPr>
        <w:rPr>
          <w:rFonts w:hint="eastAsia"/>
        </w:rPr>
      </w:pPr>
      <w:r>
        <w:t>Exact duplicate rows were checked and the drop_duplicates operation was applied. The final re</w:t>
      </w:r>
      <w:r>
        <w:t>cord count remained 7,043. Potential outliers in tenure, MonthlyCharges, and TotalCharges were examined using the interquartile range (IQR) rule. Potentially extreme values were not automatically removed because high charges or long tenures may be valid cu</w:t>
      </w:r>
      <w:r>
        <w:t>stomer records.</w:t>
      </w:r>
    </w:p>
    <w:p w:rsidR="00A20DCD" w:rsidRDefault="005913AE">
      <w:pPr>
        <w:pStyle w:val="Heading2"/>
      </w:pPr>
      <w:r>
        <w:t>3.4 Feature Encoding, Scaling, and Data Split</w:t>
      </w:r>
    </w:p>
    <w:p w:rsidR="00A20DCD" w:rsidRDefault="005913AE">
      <w:pPr>
        <w:rPr>
          <w:rFonts w:hint="eastAsia"/>
        </w:rPr>
      </w:pPr>
      <w:r>
        <w:t>The Churn target was mapped to binary labels (No = 0 and Yes = 1). Categorical predictors were transformed using one-hot encoding and numerical predictors were standardized using StandardScaler.</w:t>
      </w:r>
      <w:r>
        <w:t xml:space="preserve"> A ColumnTransformer was fitted only on the training partition and then applied to validation and test partitions to prevent preprocessing leakage. The 19 original predictors expanded to 45 processed input features.</w:t>
      </w:r>
    </w:p>
    <w:tbl>
      <w:tblPr>
        <w:tblStyle w:val="TableGrid"/>
        <w:tblW w:w="0" w:type="auto"/>
        <w:jc w:val="center"/>
        <w:tblLook w:val="04A0"/>
      </w:tblPr>
      <w:tblGrid>
        <w:gridCol w:w="2880"/>
        <w:gridCol w:w="1440"/>
        <w:gridCol w:w="5040"/>
      </w:tblGrid>
      <w:tr w:rsidR="00A20DCD">
        <w:trPr>
          <w:jc w:val="center"/>
        </w:trPr>
        <w:tc>
          <w:tcPr>
            <w:tcW w:w="2880" w:type="dxa"/>
            <w:shd w:val="clear" w:color="auto" w:fill="17365D"/>
            <w:vAlign w:val="center"/>
          </w:tcPr>
          <w:p w:rsidR="00A20DCD" w:rsidRDefault="005913AE">
            <w:pPr>
              <w:spacing w:after="0"/>
              <w:rPr>
                <w:rFonts w:hint="eastAsia"/>
              </w:rPr>
            </w:pPr>
            <w:r>
              <w:rPr>
                <w:b/>
                <w:color w:val="FFFFFF"/>
                <w:sz w:val="18"/>
              </w:rPr>
              <w:t>Partition</w:t>
            </w:r>
          </w:p>
        </w:tc>
        <w:tc>
          <w:tcPr>
            <w:tcW w:w="1440" w:type="dxa"/>
            <w:shd w:val="clear" w:color="auto" w:fill="17365D"/>
            <w:vAlign w:val="center"/>
          </w:tcPr>
          <w:p w:rsidR="00A20DCD" w:rsidRDefault="005913AE">
            <w:pPr>
              <w:spacing w:after="0"/>
              <w:rPr>
                <w:rFonts w:hint="eastAsia"/>
              </w:rPr>
            </w:pPr>
            <w:r>
              <w:rPr>
                <w:b/>
                <w:color w:val="FFFFFF"/>
                <w:sz w:val="18"/>
              </w:rPr>
              <w:t>Rows</w:t>
            </w:r>
          </w:p>
        </w:tc>
        <w:tc>
          <w:tcPr>
            <w:tcW w:w="5040" w:type="dxa"/>
            <w:shd w:val="clear" w:color="auto" w:fill="17365D"/>
            <w:vAlign w:val="center"/>
          </w:tcPr>
          <w:p w:rsidR="00A20DCD" w:rsidRDefault="005913AE">
            <w:pPr>
              <w:spacing w:after="0"/>
              <w:rPr>
                <w:rFonts w:hint="eastAsia"/>
              </w:rPr>
            </w:pPr>
            <w:r>
              <w:rPr>
                <w:b/>
                <w:color w:val="FFFFFF"/>
                <w:sz w:val="18"/>
              </w:rPr>
              <w:t>Purpose</w:t>
            </w:r>
          </w:p>
        </w:tc>
      </w:tr>
      <w:tr w:rsidR="00A20DCD">
        <w:trPr>
          <w:jc w:val="center"/>
        </w:trPr>
        <w:tc>
          <w:tcPr>
            <w:tcW w:w="2880" w:type="dxa"/>
            <w:vAlign w:val="center"/>
          </w:tcPr>
          <w:p w:rsidR="00A20DCD" w:rsidRDefault="005913AE">
            <w:pPr>
              <w:spacing w:after="0"/>
              <w:rPr>
                <w:rFonts w:hint="eastAsia"/>
              </w:rPr>
            </w:pPr>
            <w:r>
              <w:rPr>
                <w:sz w:val="18"/>
              </w:rPr>
              <w:t>Training set (70</w:t>
            </w:r>
            <w:r>
              <w:rPr>
                <w:sz w:val="18"/>
              </w:rPr>
              <w:t>%)</w:t>
            </w:r>
          </w:p>
        </w:tc>
        <w:tc>
          <w:tcPr>
            <w:tcW w:w="1440" w:type="dxa"/>
            <w:vAlign w:val="center"/>
          </w:tcPr>
          <w:p w:rsidR="00A20DCD" w:rsidRDefault="005913AE">
            <w:pPr>
              <w:spacing w:after="0"/>
              <w:rPr>
                <w:rFonts w:hint="eastAsia"/>
              </w:rPr>
            </w:pPr>
            <w:r>
              <w:rPr>
                <w:sz w:val="18"/>
              </w:rPr>
              <w:t>4,930</w:t>
            </w:r>
          </w:p>
        </w:tc>
        <w:tc>
          <w:tcPr>
            <w:tcW w:w="5040" w:type="dxa"/>
            <w:vAlign w:val="center"/>
          </w:tcPr>
          <w:p w:rsidR="00A20DCD" w:rsidRDefault="005913AE">
            <w:pPr>
              <w:spacing w:after="0"/>
              <w:rPr>
                <w:rFonts w:hint="eastAsia"/>
              </w:rPr>
            </w:pPr>
            <w:r>
              <w:rPr>
                <w:sz w:val="18"/>
              </w:rPr>
              <w:t>Fit model parameters</w:t>
            </w:r>
          </w:p>
        </w:tc>
      </w:tr>
      <w:tr w:rsidR="00A20DCD">
        <w:trPr>
          <w:jc w:val="center"/>
        </w:trPr>
        <w:tc>
          <w:tcPr>
            <w:tcW w:w="2880" w:type="dxa"/>
            <w:shd w:val="clear" w:color="auto" w:fill="F0F4F8"/>
            <w:vAlign w:val="center"/>
          </w:tcPr>
          <w:p w:rsidR="00A20DCD" w:rsidRDefault="005913AE">
            <w:pPr>
              <w:spacing w:after="0"/>
              <w:rPr>
                <w:rFonts w:hint="eastAsia"/>
              </w:rPr>
            </w:pPr>
            <w:r>
              <w:rPr>
                <w:sz w:val="18"/>
              </w:rPr>
              <w:t>Validation set (15%)</w:t>
            </w:r>
          </w:p>
        </w:tc>
        <w:tc>
          <w:tcPr>
            <w:tcW w:w="1440" w:type="dxa"/>
            <w:shd w:val="clear" w:color="auto" w:fill="F0F4F8"/>
            <w:vAlign w:val="center"/>
          </w:tcPr>
          <w:p w:rsidR="00A20DCD" w:rsidRDefault="005913AE">
            <w:pPr>
              <w:spacing w:after="0"/>
              <w:rPr>
                <w:rFonts w:hint="eastAsia"/>
              </w:rPr>
            </w:pPr>
            <w:r>
              <w:rPr>
                <w:sz w:val="18"/>
              </w:rPr>
              <w:t>1,056</w:t>
            </w:r>
          </w:p>
        </w:tc>
        <w:tc>
          <w:tcPr>
            <w:tcW w:w="5040" w:type="dxa"/>
            <w:shd w:val="clear" w:color="auto" w:fill="F0F4F8"/>
            <w:vAlign w:val="center"/>
          </w:tcPr>
          <w:p w:rsidR="00A20DCD" w:rsidRDefault="005913AE">
            <w:pPr>
              <w:spacing w:after="0"/>
              <w:rPr>
                <w:rFonts w:hint="eastAsia"/>
              </w:rPr>
            </w:pPr>
            <w:r>
              <w:rPr>
                <w:sz w:val="18"/>
              </w:rPr>
              <w:t>Select model configuration and monitor training</w:t>
            </w:r>
          </w:p>
        </w:tc>
      </w:tr>
      <w:tr w:rsidR="00A20DCD">
        <w:trPr>
          <w:jc w:val="center"/>
        </w:trPr>
        <w:tc>
          <w:tcPr>
            <w:tcW w:w="2880" w:type="dxa"/>
            <w:vAlign w:val="center"/>
          </w:tcPr>
          <w:p w:rsidR="00A20DCD" w:rsidRDefault="005913AE">
            <w:pPr>
              <w:spacing w:after="0"/>
              <w:rPr>
                <w:rFonts w:hint="eastAsia"/>
              </w:rPr>
            </w:pPr>
            <w:r>
              <w:rPr>
                <w:sz w:val="18"/>
              </w:rPr>
              <w:t>Test set (15%)</w:t>
            </w:r>
          </w:p>
        </w:tc>
        <w:tc>
          <w:tcPr>
            <w:tcW w:w="1440" w:type="dxa"/>
            <w:vAlign w:val="center"/>
          </w:tcPr>
          <w:p w:rsidR="00A20DCD" w:rsidRDefault="005913AE">
            <w:pPr>
              <w:spacing w:after="0"/>
              <w:rPr>
                <w:rFonts w:hint="eastAsia"/>
              </w:rPr>
            </w:pPr>
            <w:r>
              <w:rPr>
                <w:sz w:val="18"/>
              </w:rPr>
              <w:t>1,057</w:t>
            </w:r>
          </w:p>
        </w:tc>
        <w:tc>
          <w:tcPr>
            <w:tcW w:w="5040" w:type="dxa"/>
            <w:vAlign w:val="center"/>
          </w:tcPr>
          <w:p w:rsidR="00A20DCD" w:rsidRDefault="005913AE">
            <w:pPr>
              <w:spacing w:after="0"/>
              <w:rPr>
                <w:rFonts w:hint="eastAsia"/>
              </w:rPr>
            </w:pPr>
            <w:r>
              <w:rPr>
                <w:sz w:val="18"/>
              </w:rPr>
              <w:t>Final evaluation on held-out records</w:t>
            </w:r>
          </w:p>
        </w:tc>
      </w:tr>
    </w:tbl>
    <w:p w:rsidR="00A20DCD" w:rsidRDefault="00A20DCD">
      <w:pPr>
        <w:spacing w:after="20"/>
        <w:rPr>
          <w:rFonts w:hint="eastAsia"/>
        </w:rPr>
      </w:pPr>
    </w:p>
    <w:p w:rsidR="00A20DCD" w:rsidRDefault="005913AE">
      <w:pPr>
        <w:rPr>
          <w:rFonts w:hint="eastAsia"/>
        </w:rPr>
      </w:pPr>
      <w:r>
        <w:t xml:space="preserve">Stratified splitting preserved the churn proportion approximately across partitions: </w:t>
      </w:r>
      <w:r>
        <w:t>26.53% in training, 26.52% in validation, and 26.58% in test. The processed arrays had shapes (4930, 45), (1056, 45), and (1057, 45), with zero NaN values reported in each partition.</w:t>
      </w:r>
    </w:p>
    <w:p w:rsidR="00A20DCD" w:rsidRDefault="005913AE">
      <w:pPr>
        <w:pStyle w:val="Heading1"/>
      </w:pPr>
      <w:r>
        <w:t>4. Exploratory Data Analysis and Visualization</w:t>
      </w:r>
    </w:p>
    <w:p w:rsidR="00A20DCD" w:rsidRDefault="005913AE">
      <w:pPr>
        <w:rPr>
          <w:rFonts w:hint="eastAsia"/>
        </w:rPr>
      </w:pPr>
      <w:r>
        <w:t xml:space="preserve">Exploratory analysis was </w:t>
      </w:r>
      <w:r>
        <w:t>conducted to summarize individual features and examine relationships associated with Churn. The project includes eight EDA visualizations, exceeding the assignment minimum of five. Each figure should be read together with its caption and interpretation.</w:t>
      </w:r>
    </w:p>
    <w:p w:rsidR="00A20DCD" w:rsidRDefault="005913AE">
      <w:pPr>
        <w:pStyle w:val="Heading2"/>
      </w:pPr>
      <w:r>
        <w:t>4.</w:t>
      </w:r>
      <w:r>
        <w:t>1 Churn Distribution</w:t>
      </w:r>
    </w:p>
    <w:p w:rsidR="00A20DCD" w:rsidRDefault="005913AE">
      <w:pPr>
        <w:rPr>
          <w:rFonts w:hint="eastAsia"/>
        </w:rPr>
      </w:pPr>
      <w:r>
        <w:t xml:space="preserve">The target contained 5,174 customers who stayed (73.46%) and 1,869 customers who churned (26.54%). Retained customers therefore formed the majority class. This class imbalance makes it important to examine recall, precision, F1-score, </w:t>
      </w:r>
      <w:r>
        <w:t>and ROC-AUC in addition to accuracy.</w:t>
      </w:r>
    </w:p>
    <w:p w:rsidR="00A20DCD" w:rsidRDefault="005913AE">
      <w:pPr>
        <w:spacing w:before="60" w:after="40"/>
        <w:jc w:val="center"/>
        <w:rPr>
          <w:rFonts w:hint="eastAsia"/>
        </w:rPr>
      </w:pPr>
      <w:r>
        <w:rPr>
          <w:noProof/>
        </w:rPr>
        <w:drawing>
          <wp:inline distT="0" distB="0" distL="0" distR="0">
            <wp:extent cx="5669280" cy="35865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hurn_distribution.png"/>
                    <pic:cNvPicPr/>
                  </pic:nvPicPr>
                  <pic:blipFill>
                    <a:blip r:embed="rId8"/>
                    <a:stretch>
                      <a:fillRect/>
                    </a:stretch>
                  </pic:blipFill>
                  <pic:spPr>
                    <a:xfrm>
                      <a:off x="0" y="0"/>
                      <a:ext cx="5669280" cy="3586551"/>
                    </a:xfrm>
                    <a:prstGeom prst="rect">
                      <a:avLst/>
                    </a:prstGeom>
                  </pic:spPr>
                </pic:pic>
              </a:graphicData>
            </a:graphic>
          </wp:inline>
        </w:drawing>
      </w:r>
    </w:p>
    <w:p w:rsidR="00A20DCD" w:rsidRDefault="005913AE">
      <w:pPr>
        <w:pStyle w:val="Caption"/>
        <w:jc w:val="center"/>
        <w:rPr>
          <w:rFonts w:hint="eastAsia"/>
        </w:rPr>
      </w:pPr>
      <w:r>
        <w:t>Figure 1. Count and percentage distribution of the Churn target.</w:t>
      </w:r>
    </w:p>
    <w:p w:rsidR="00A20DCD" w:rsidRDefault="005913AE">
      <w:pPr>
        <w:pStyle w:val="Heading2"/>
      </w:pPr>
      <w:r>
        <w:t>4.2 Tenure Distribution</w:t>
      </w:r>
    </w:p>
    <w:p w:rsidR="00394A60" w:rsidRDefault="005913AE" w:rsidP="00394A60">
      <w:r>
        <w:t xml:space="preserve">Tenure measures the number of months a customer remained with the service. Its mean was 32.37 months, median was 29 months, and </w:t>
      </w:r>
      <w:r>
        <w:t>range was 0 to 72 months. The histogram is used to examine how records are spread across tenure values and to identify concentrations or possible skewness.</w:t>
      </w:r>
    </w:p>
    <w:p w:rsidR="00A20DCD" w:rsidRDefault="005913AE" w:rsidP="00394A60">
      <w:pPr>
        <w:rPr>
          <w:rFonts w:hint="eastAsia"/>
        </w:rPr>
      </w:pPr>
      <w:r>
        <w:rPr>
          <w:i/>
          <w:sz w:val="18"/>
        </w:rPr>
        <w:t xml:space="preserve"> </w:t>
      </w:r>
      <w:r w:rsidR="00394A60">
        <w:rPr>
          <w:rFonts w:hint="eastAsia"/>
          <w:noProof/>
        </w:rPr>
        <w:drawing>
          <wp:inline distT="0" distB="0" distL="0" distR="0">
            <wp:extent cx="6159113" cy="3307742"/>
            <wp:effectExtent l="19050" t="0" r="0" b="0"/>
            <wp:docPr id="6" name="Picture 5" descr="Screenshot 2026-10-09 2238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9 223852.png"/>
                    <pic:cNvPicPr/>
                  </pic:nvPicPr>
                  <pic:blipFill>
                    <a:blip r:embed="rId9"/>
                    <a:stretch>
                      <a:fillRect/>
                    </a:stretch>
                  </pic:blipFill>
                  <pic:spPr>
                    <a:xfrm>
                      <a:off x="0" y="0"/>
                      <a:ext cx="6161175" cy="3308849"/>
                    </a:xfrm>
                    <a:prstGeom prst="rect">
                      <a:avLst/>
                    </a:prstGeom>
                  </pic:spPr>
                </pic:pic>
              </a:graphicData>
            </a:graphic>
          </wp:inline>
        </w:drawing>
      </w:r>
    </w:p>
    <w:p w:rsidR="00A20DCD" w:rsidRDefault="005913AE">
      <w:pPr>
        <w:pStyle w:val="Caption"/>
        <w:jc w:val="center"/>
        <w:rPr>
          <w:rFonts w:hint="eastAsia"/>
        </w:rPr>
      </w:pPr>
      <w:r>
        <w:t>Figure 2. Distribution of customer tenure.</w:t>
      </w:r>
    </w:p>
    <w:p w:rsidR="00A20DCD" w:rsidRDefault="005913AE">
      <w:pPr>
        <w:pStyle w:val="Heading2"/>
      </w:pPr>
      <w:r>
        <w:t>4.3 Monthly Charges Distribution</w:t>
      </w:r>
    </w:p>
    <w:p w:rsidR="00A20DCD" w:rsidRDefault="005913AE">
      <w:r>
        <w:t>MonthlyCharges had a mean of 64.76, a median of 70.35, a standard deviation of 30.09, and a range from 18.25 to 11</w:t>
      </w:r>
      <w:r>
        <w:t>8.75 in the dataset’s monetary units. The histogram with a density curve helps inspect concentration, spread, and the empirical shape of this continuous numerical variable.</w:t>
      </w:r>
    </w:p>
    <w:p w:rsidR="0047735C" w:rsidRDefault="0047735C"/>
    <w:p w:rsidR="0047735C" w:rsidRDefault="0047735C"/>
    <w:p w:rsidR="00394A60" w:rsidRDefault="00394A60">
      <w:pPr>
        <w:rPr>
          <w:rFonts w:hint="eastAsia"/>
        </w:rPr>
      </w:pPr>
      <w:r>
        <w:rPr>
          <w:rFonts w:hint="eastAsia"/>
          <w:noProof/>
        </w:rPr>
        <w:drawing>
          <wp:inline distT="0" distB="0" distL="0" distR="0">
            <wp:extent cx="6268418" cy="3148717"/>
            <wp:effectExtent l="19050" t="0" r="0" b="0"/>
            <wp:docPr id="7" name="Picture 6" descr="Screenshot 2026-10-09 224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9 224007.png"/>
                    <pic:cNvPicPr/>
                  </pic:nvPicPr>
                  <pic:blipFill>
                    <a:blip r:embed="rId10"/>
                    <a:stretch>
                      <a:fillRect/>
                    </a:stretch>
                  </pic:blipFill>
                  <pic:spPr>
                    <a:xfrm>
                      <a:off x="0" y="0"/>
                      <a:ext cx="6272530" cy="3150782"/>
                    </a:xfrm>
                    <a:prstGeom prst="rect">
                      <a:avLst/>
                    </a:prstGeom>
                  </pic:spPr>
                </pic:pic>
              </a:graphicData>
            </a:graphic>
          </wp:inline>
        </w:drawing>
      </w:r>
    </w:p>
    <w:p w:rsidR="00A20DCD" w:rsidRDefault="005913AE">
      <w:pPr>
        <w:pStyle w:val="Caption"/>
        <w:jc w:val="center"/>
      </w:pPr>
      <w:r>
        <w:t>Figure 3. Distribution of monthly charges.</w:t>
      </w:r>
    </w:p>
    <w:p w:rsidR="0047735C" w:rsidRPr="0047735C" w:rsidRDefault="0047735C" w:rsidP="0047735C">
      <w:pPr>
        <w:rPr>
          <w:rFonts w:hint="eastAsia"/>
        </w:rPr>
      </w:pPr>
    </w:p>
    <w:p w:rsidR="00A20DCD" w:rsidRDefault="005913AE">
      <w:pPr>
        <w:pStyle w:val="Heading2"/>
      </w:pPr>
      <w:r>
        <w:t>4.4 Monthly Charges by Churn Status</w:t>
      </w:r>
    </w:p>
    <w:p w:rsidR="00A20DCD" w:rsidRDefault="005913AE">
      <w:r>
        <w:t>A boxplot compares the distribution of monthly ch</w:t>
      </w:r>
      <w:r>
        <w:t>arges for customers who stayed and customers who churned. The grouped statistics showed mean MonthlyCharges of 61.27 for retained customers and 74.44 for churned customers. The medians were 64.43 and 79.65, respectively. This indicates that, in this datase</w:t>
      </w:r>
      <w:r>
        <w:t>t, the churned group had higher typical monthly charges; this is an association and does not establish causation.</w:t>
      </w:r>
    </w:p>
    <w:p w:rsidR="00394A60" w:rsidRDefault="00394A60">
      <w:pPr>
        <w:rPr>
          <w:rFonts w:hint="eastAsia"/>
        </w:rPr>
      </w:pPr>
      <w:r>
        <w:rPr>
          <w:rFonts w:hint="eastAsia"/>
          <w:noProof/>
        </w:rPr>
        <w:drawing>
          <wp:inline distT="0" distB="0" distL="0" distR="0">
            <wp:extent cx="6111405" cy="3490623"/>
            <wp:effectExtent l="19050" t="0" r="3645" b="0"/>
            <wp:docPr id="8" name="Picture 7" descr="Screenshot 2026-10-09 2240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9 224034.png"/>
                    <pic:cNvPicPr/>
                  </pic:nvPicPr>
                  <pic:blipFill>
                    <a:blip r:embed="rId11"/>
                    <a:stretch>
                      <a:fillRect/>
                    </a:stretch>
                  </pic:blipFill>
                  <pic:spPr>
                    <a:xfrm>
                      <a:off x="0" y="0"/>
                      <a:ext cx="6113452" cy="3491792"/>
                    </a:xfrm>
                    <a:prstGeom prst="rect">
                      <a:avLst/>
                    </a:prstGeom>
                  </pic:spPr>
                </pic:pic>
              </a:graphicData>
            </a:graphic>
          </wp:inline>
        </w:drawing>
      </w:r>
    </w:p>
    <w:p w:rsidR="00A20DCD" w:rsidRDefault="005913AE">
      <w:pPr>
        <w:pStyle w:val="Caption"/>
        <w:jc w:val="center"/>
        <w:rPr>
          <w:rFonts w:hint="eastAsia"/>
        </w:rPr>
      </w:pPr>
      <w:r>
        <w:t>Figure 4. Monthly charges grouped by churn status.</w:t>
      </w:r>
    </w:p>
    <w:p w:rsidR="00A20DCD" w:rsidRDefault="005913AE">
      <w:pPr>
        <w:pStyle w:val="Heading2"/>
      </w:pPr>
      <w:r>
        <w:t>4.5 Contract Type and Churn Rate</w:t>
      </w:r>
    </w:p>
    <w:p w:rsidR="00A20DCD" w:rsidRDefault="005913AE">
      <w:pPr>
        <w:rPr>
          <w:rFonts w:hint="eastAsia"/>
        </w:rPr>
      </w:pPr>
      <w:r>
        <w:t>Contract type showed a substantial difference in observed churn rates. The month-to-month group had a churn rate of 42.71%, the one-year group 11.</w:t>
      </w:r>
      <w:r>
        <w:t>27%, and the two-year group 2.83%. The percentage chart makes group rates comparable despite different category sizes. This pattern suggests an association between contract duration and retention; it does not prove that contract type alone causes churn.</w:t>
      </w:r>
    </w:p>
    <w:p w:rsidR="00A20DCD" w:rsidRDefault="005913AE">
      <w:pPr>
        <w:spacing w:before="60" w:after="40"/>
        <w:jc w:val="center"/>
        <w:rPr>
          <w:rFonts w:hint="eastAsia"/>
        </w:rPr>
      </w:pPr>
      <w:r>
        <w:rPr>
          <w:noProof/>
        </w:rPr>
        <w:drawing>
          <wp:inline distT="0" distB="0" distL="0" distR="0">
            <wp:extent cx="5444100" cy="3275937"/>
            <wp:effectExtent l="19050" t="0" r="420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contract_churn.png"/>
                    <pic:cNvPicPr/>
                  </pic:nvPicPr>
                  <pic:blipFill>
                    <a:blip r:embed="rId12"/>
                    <a:stretch>
                      <a:fillRect/>
                    </a:stretch>
                  </pic:blipFill>
                  <pic:spPr>
                    <a:xfrm>
                      <a:off x="0" y="0"/>
                      <a:ext cx="5450052" cy="3279519"/>
                    </a:xfrm>
                    <a:prstGeom prst="rect">
                      <a:avLst/>
                    </a:prstGeom>
                  </pic:spPr>
                </pic:pic>
              </a:graphicData>
            </a:graphic>
          </wp:inline>
        </w:drawing>
      </w:r>
    </w:p>
    <w:p w:rsidR="00A20DCD" w:rsidRDefault="005913AE">
      <w:pPr>
        <w:pStyle w:val="Caption"/>
        <w:jc w:val="center"/>
        <w:rPr>
          <w:rFonts w:hint="eastAsia"/>
        </w:rPr>
      </w:pPr>
      <w:r>
        <w:t>Figure 5. Percentage of customers who stayed or churned by contract type.</w:t>
      </w:r>
    </w:p>
    <w:tbl>
      <w:tblPr>
        <w:tblStyle w:val="TableGrid"/>
        <w:tblW w:w="0" w:type="auto"/>
        <w:jc w:val="center"/>
        <w:tblLook w:val="04A0"/>
      </w:tblPr>
      <w:tblGrid>
        <w:gridCol w:w="3888"/>
        <w:gridCol w:w="2448"/>
        <w:gridCol w:w="2448"/>
      </w:tblGrid>
      <w:tr w:rsidR="00A20DCD">
        <w:trPr>
          <w:jc w:val="center"/>
        </w:trPr>
        <w:tc>
          <w:tcPr>
            <w:tcW w:w="3888" w:type="dxa"/>
            <w:shd w:val="clear" w:color="auto" w:fill="17365D"/>
            <w:vAlign w:val="center"/>
          </w:tcPr>
          <w:p w:rsidR="00A20DCD" w:rsidRDefault="005913AE">
            <w:pPr>
              <w:spacing w:after="0"/>
              <w:rPr>
                <w:rFonts w:hint="eastAsia"/>
              </w:rPr>
            </w:pPr>
            <w:r>
              <w:rPr>
                <w:b/>
                <w:color w:val="FFFFFF"/>
                <w:sz w:val="18"/>
              </w:rPr>
              <w:t>Contract type</w:t>
            </w:r>
          </w:p>
        </w:tc>
        <w:tc>
          <w:tcPr>
            <w:tcW w:w="2448" w:type="dxa"/>
            <w:shd w:val="clear" w:color="auto" w:fill="17365D"/>
            <w:vAlign w:val="center"/>
          </w:tcPr>
          <w:p w:rsidR="00A20DCD" w:rsidRDefault="005913AE">
            <w:pPr>
              <w:spacing w:after="0"/>
              <w:rPr>
                <w:rFonts w:hint="eastAsia"/>
              </w:rPr>
            </w:pPr>
            <w:r>
              <w:rPr>
                <w:b/>
                <w:color w:val="FFFFFF"/>
                <w:sz w:val="18"/>
              </w:rPr>
              <w:t>Stayed (%)</w:t>
            </w:r>
          </w:p>
        </w:tc>
        <w:tc>
          <w:tcPr>
            <w:tcW w:w="2448" w:type="dxa"/>
            <w:shd w:val="clear" w:color="auto" w:fill="17365D"/>
            <w:vAlign w:val="center"/>
          </w:tcPr>
          <w:p w:rsidR="00A20DCD" w:rsidRDefault="005913AE">
            <w:pPr>
              <w:spacing w:after="0"/>
              <w:rPr>
                <w:rFonts w:hint="eastAsia"/>
              </w:rPr>
            </w:pPr>
            <w:r>
              <w:rPr>
                <w:b/>
                <w:color w:val="FFFFFF"/>
                <w:sz w:val="18"/>
              </w:rPr>
              <w:t>Churned (%)</w:t>
            </w:r>
          </w:p>
        </w:tc>
      </w:tr>
      <w:tr w:rsidR="00A20DCD">
        <w:trPr>
          <w:jc w:val="center"/>
        </w:trPr>
        <w:tc>
          <w:tcPr>
            <w:tcW w:w="3888" w:type="dxa"/>
            <w:vAlign w:val="center"/>
          </w:tcPr>
          <w:p w:rsidR="00A20DCD" w:rsidRDefault="005913AE">
            <w:pPr>
              <w:spacing w:after="0"/>
              <w:rPr>
                <w:rFonts w:hint="eastAsia"/>
              </w:rPr>
            </w:pPr>
            <w:r>
              <w:rPr>
                <w:sz w:val="18"/>
              </w:rPr>
              <w:t>Month-to-month</w:t>
            </w:r>
          </w:p>
        </w:tc>
        <w:tc>
          <w:tcPr>
            <w:tcW w:w="2448" w:type="dxa"/>
            <w:vAlign w:val="center"/>
          </w:tcPr>
          <w:p w:rsidR="00A20DCD" w:rsidRDefault="005913AE">
            <w:pPr>
              <w:spacing w:after="0"/>
              <w:rPr>
                <w:rFonts w:hint="eastAsia"/>
              </w:rPr>
            </w:pPr>
            <w:r>
              <w:rPr>
                <w:sz w:val="18"/>
              </w:rPr>
              <w:t>57.29</w:t>
            </w:r>
          </w:p>
        </w:tc>
        <w:tc>
          <w:tcPr>
            <w:tcW w:w="2448" w:type="dxa"/>
            <w:vAlign w:val="center"/>
          </w:tcPr>
          <w:p w:rsidR="00A20DCD" w:rsidRDefault="005913AE">
            <w:pPr>
              <w:spacing w:after="0"/>
              <w:rPr>
                <w:rFonts w:hint="eastAsia"/>
              </w:rPr>
            </w:pPr>
            <w:r>
              <w:rPr>
                <w:sz w:val="18"/>
              </w:rPr>
              <w:t>42.71</w:t>
            </w:r>
          </w:p>
        </w:tc>
      </w:tr>
      <w:tr w:rsidR="00A20DCD">
        <w:trPr>
          <w:jc w:val="center"/>
        </w:trPr>
        <w:tc>
          <w:tcPr>
            <w:tcW w:w="3888" w:type="dxa"/>
            <w:shd w:val="clear" w:color="auto" w:fill="F0F4F8"/>
            <w:vAlign w:val="center"/>
          </w:tcPr>
          <w:p w:rsidR="00A20DCD" w:rsidRDefault="005913AE">
            <w:pPr>
              <w:spacing w:after="0"/>
              <w:rPr>
                <w:rFonts w:hint="eastAsia"/>
              </w:rPr>
            </w:pPr>
            <w:r>
              <w:rPr>
                <w:sz w:val="18"/>
              </w:rPr>
              <w:t>One year</w:t>
            </w:r>
          </w:p>
        </w:tc>
        <w:tc>
          <w:tcPr>
            <w:tcW w:w="2448" w:type="dxa"/>
            <w:shd w:val="clear" w:color="auto" w:fill="F0F4F8"/>
            <w:vAlign w:val="center"/>
          </w:tcPr>
          <w:p w:rsidR="00A20DCD" w:rsidRDefault="005913AE">
            <w:pPr>
              <w:spacing w:after="0"/>
              <w:rPr>
                <w:rFonts w:hint="eastAsia"/>
              </w:rPr>
            </w:pPr>
            <w:r>
              <w:rPr>
                <w:sz w:val="18"/>
              </w:rPr>
              <w:t>88.73</w:t>
            </w:r>
          </w:p>
        </w:tc>
        <w:tc>
          <w:tcPr>
            <w:tcW w:w="2448" w:type="dxa"/>
            <w:shd w:val="clear" w:color="auto" w:fill="F0F4F8"/>
            <w:vAlign w:val="center"/>
          </w:tcPr>
          <w:p w:rsidR="00A20DCD" w:rsidRDefault="005913AE">
            <w:pPr>
              <w:spacing w:after="0"/>
              <w:rPr>
                <w:rFonts w:hint="eastAsia"/>
              </w:rPr>
            </w:pPr>
            <w:r>
              <w:rPr>
                <w:sz w:val="18"/>
              </w:rPr>
              <w:t>11.27</w:t>
            </w:r>
          </w:p>
        </w:tc>
      </w:tr>
      <w:tr w:rsidR="00A20DCD">
        <w:trPr>
          <w:jc w:val="center"/>
        </w:trPr>
        <w:tc>
          <w:tcPr>
            <w:tcW w:w="3888" w:type="dxa"/>
            <w:vAlign w:val="center"/>
          </w:tcPr>
          <w:p w:rsidR="00A20DCD" w:rsidRDefault="005913AE">
            <w:pPr>
              <w:spacing w:after="0"/>
              <w:rPr>
                <w:rFonts w:hint="eastAsia"/>
              </w:rPr>
            </w:pPr>
            <w:r>
              <w:rPr>
                <w:sz w:val="18"/>
              </w:rPr>
              <w:t>Two year</w:t>
            </w:r>
          </w:p>
        </w:tc>
        <w:tc>
          <w:tcPr>
            <w:tcW w:w="2448" w:type="dxa"/>
            <w:vAlign w:val="center"/>
          </w:tcPr>
          <w:p w:rsidR="00A20DCD" w:rsidRDefault="005913AE">
            <w:pPr>
              <w:spacing w:after="0"/>
              <w:rPr>
                <w:rFonts w:hint="eastAsia"/>
              </w:rPr>
            </w:pPr>
            <w:r>
              <w:rPr>
                <w:sz w:val="18"/>
              </w:rPr>
              <w:t>97.17</w:t>
            </w:r>
          </w:p>
        </w:tc>
        <w:tc>
          <w:tcPr>
            <w:tcW w:w="2448" w:type="dxa"/>
            <w:vAlign w:val="center"/>
          </w:tcPr>
          <w:p w:rsidR="00A20DCD" w:rsidRDefault="005913AE">
            <w:pPr>
              <w:spacing w:after="0"/>
              <w:rPr>
                <w:rFonts w:hint="eastAsia"/>
              </w:rPr>
            </w:pPr>
            <w:r>
              <w:rPr>
                <w:sz w:val="18"/>
              </w:rPr>
              <w:t>2.83</w:t>
            </w:r>
          </w:p>
        </w:tc>
      </w:tr>
    </w:tbl>
    <w:p w:rsidR="00A20DCD" w:rsidRDefault="00A20DCD">
      <w:pPr>
        <w:spacing w:after="20"/>
        <w:rPr>
          <w:rFonts w:hint="eastAsia"/>
        </w:rPr>
      </w:pPr>
    </w:p>
    <w:p w:rsidR="00A20DCD" w:rsidRDefault="005913AE">
      <w:pPr>
        <w:pStyle w:val="Heading2"/>
      </w:pPr>
      <w:r>
        <w:t>4.6 Correlation Heatmap</w:t>
      </w:r>
    </w:p>
    <w:p w:rsidR="00A20DCD" w:rsidRDefault="005913AE">
      <w:pPr>
        <w:keepLines/>
      </w:pPr>
      <w:r>
        <w:t xml:space="preserve">The correlation heatmap compares numerical </w:t>
      </w:r>
      <w:r>
        <w:t>variables, including SeniorCitizen, tenure, MonthlyCharges, and TotalCharges. Correlations indicate the direction and strength of linear relationships between numerical variables. In the final report, identify the strongest positive and negative correlatio</w:t>
      </w:r>
      <w:r>
        <w:t>n visible in your generated heatmap and explain that correlation does not imply causation.</w:t>
      </w:r>
    </w:p>
    <w:p w:rsidR="0047735C" w:rsidRDefault="0047735C">
      <w:pPr>
        <w:keepLines/>
      </w:pPr>
    </w:p>
    <w:p w:rsidR="0047735C" w:rsidRDefault="0047735C">
      <w:pPr>
        <w:keepLines/>
      </w:pPr>
    </w:p>
    <w:p w:rsidR="00394A60" w:rsidRDefault="00394A60">
      <w:pPr>
        <w:keepLines/>
        <w:rPr>
          <w:rFonts w:hint="eastAsia"/>
        </w:rPr>
      </w:pPr>
      <w:r>
        <w:rPr>
          <w:rFonts w:hint="eastAsia"/>
          <w:noProof/>
        </w:rPr>
        <w:drawing>
          <wp:inline distT="0" distB="0" distL="0" distR="0">
            <wp:extent cx="6272530" cy="4841240"/>
            <wp:effectExtent l="19050" t="0" r="0" b="0"/>
            <wp:docPr id="9" name="Picture 8" descr="Screenshot 2026-10-09 224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9 224106.png"/>
                    <pic:cNvPicPr/>
                  </pic:nvPicPr>
                  <pic:blipFill>
                    <a:blip r:embed="rId13"/>
                    <a:stretch>
                      <a:fillRect/>
                    </a:stretch>
                  </pic:blipFill>
                  <pic:spPr>
                    <a:xfrm>
                      <a:off x="0" y="0"/>
                      <a:ext cx="6272530" cy="4841240"/>
                    </a:xfrm>
                    <a:prstGeom prst="rect">
                      <a:avLst/>
                    </a:prstGeom>
                  </pic:spPr>
                </pic:pic>
              </a:graphicData>
            </a:graphic>
          </wp:inline>
        </w:drawing>
      </w:r>
    </w:p>
    <w:p w:rsidR="00A20DCD" w:rsidRDefault="005913AE">
      <w:pPr>
        <w:pStyle w:val="Caption"/>
        <w:jc w:val="center"/>
      </w:pPr>
      <w:r>
        <w:t>Figure 6. Correlation heatmap of numerical features.</w:t>
      </w:r>
    </w:p>
    <w:p w:rsidR="0047735C" w:rsidRDefault="0047735C" w:rsidP="0047735C"/>
    <w:p w:rsidR="0047735C" w:rsidRPr="0047735C" w:rsidRDefault="0047735C" w:rsidP="0047735C">
      <w:pPr>
        <w:rPr>
          <w:rFonts w:hint="eastAsia"/>
        </w:rPr>
      </w:pPr>
    </w:p>
    <w:p w:rsidR="00A20DCD" w:rsidRDefault="005913AE">
      <w:pPr>
        <w:pStyle w:val="Heading2"/>
      </w:pPr>
      <w:r>
        <w:t>4.7 Tenure versus Monthly Charges</w:t>
      </w:r>
    </w:p>
    <w:p w:rsidR="00A20DCD" w:rsidRDefault="005913AE">
      <w:r>
        <w:t xml:space="preserve">The scatterplot explores tenure and MonthlyCharges together, with points coloured by Churn. Grouped statistics showed that </w:t>
      </w:r>
      <w:r>
        <w:t>churned customers had mean tenure of 17.98 months, compared with 37.57 months for retained customers. Churned customers also had higher mean monthly charges (74.44 versus 61.27). The scatterplot helps inspect how much the two groups overlap and whether pat</w:t>
      </w:r>
      <w:r>
        <w:t>terns differ across the feature space.</w:t>
      </w:r>
    </w:p>
    <w:p w:rsidR="0047735C" w:rsidRDefault="0047735C"/>
    <w:p w:rsidR="00394A60" w:rsidRDefault="00394A60">
      <w:pPr>
        <w:rPr>
          <w:rFonts w:hint="eastAsia"/>
        </w:rPr>
      </w:pPr>
      <w:r>
        <w:rPr>
          <w:rFonts w:hint="eastAsia"/>
          <w:noProof/>
        </w:rPr>
        <w:drawing>
          <wp:inline distT="0" distB="0" distL="0" distR="0">
            <wp:extent cx="6272530" cy="3739515"/>
            <wp:effectExtent l="19050" t="0" r="0" b="0"/>
            <wp:docPr id="10" name="Picture 9" descr="Screenshot 2026-10-09 224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9 224126.png"/>
                    <pic:cNvPicPr/>
                  </pic:nvPicPr>
                  <pic:blipFill>
                    <a:blip r:embed="rId14"/>
                    <a:stretch>
                      <a:fillRect/>
                    </a:stretch>
                  </pic:blipFill>
                  <pic:spPr>
                    <a:xfrm>
                      <a:off x="0" y="0"/>
                      <a:ext cx="6272530" cy="3739515"/>
                    </a:xfrm>
                    <a:prstGeom prst="rect">
                      <a:avLst/>
                    </a:prstGeom>
                  </pic:spPr>
                </pic:pic>
              </a:graphicData>
            </a:graphic>
          </wp:inline>
        </w:drawing>
      </w:r>
    </w:p>
    <w:p w:rsidR="00A20DCD" w:rsidRDefault="005913AE">
      <w:pPr>
        <w:pStyle w:val="Caption"/>
        <w:jc w:val="center"/>
      </w:pPr>
      <w:r>
        <w:t>Figure 7. Te</w:t>
      </w:r>
      <w:r>
        <w:t>nure versus monthly charges by churn status.</w:t>
      </w:r>
    </w:p>
    <w:p w:rsidR="0047735C" w:rsidRDefault="0047735C" w:rsidP="0047735C"/>
    <w:p w:rsidR="0047735C" w:rsidRPr="0047735C" w:rsidRDefault="0047735C" w:rsidP="0047735C">
      <w:pPr>
        <w:rPr>
          <w:rFonts w:hint="eastAsia"/>
        </w:rPr>
      </w:pPr>
    </w:p>
    <w:p w:rsidR="00A20DCD" w:rsidRDefault="005913AE">
      <w:pPr>
        <w:pStyle w:val="Heading2"/>
      </w:pPr>
      <w:r>
        <w:t>4.8 Payment Method and Churn Rate</w:t>
      </w:r>
    </w:p>
    <w:p w:rsidR="002E672B" w:rsidRDefault="005913AE">
      <w:r>
        <w:t>A 100% stacked bar chart compares the percentage of customers who stayed or churned within each payment-method category. Using percentages instead of counts makes the categories</w:t>
      </w:r>
      <w:r>
        <w:t xml:space="preserve"> easier to compare when group sizes differ. In the final version, identify the payment-method group with the highest observed churn percentage from the output table generated by Colab.</w:t>
      </w:r>
    </w:p>
    <w:p w:rsidR="00394A60" w:rsidRDefault="00394A60">
      <w:r>
        <w:rPr>
          <w:noProof/>
        </w:rPr>
        <w:drawing>
          <wp:inline distT="0" distB="0" distL="0" distR="0">
            <wp:extent cx="6268003" cy="3450866"/>
            <wp:effectExtent l="19050" t="0" r="0" b="0"/>
            <wp:docPr id="11" name="Picture 10" descr="Screenshot 2026-10-09 2241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9 224149.png"/>
                    <pic:cNvPicPr/>
                  </pic:nvPicPr>
                  <pic:blipFill>
                    <a:blip r:embed="rId15"/>
                    <a:stretch>
                      <a:fillRect/>
                    </a:stretch>
                  </pic:blipFill>
                  <pic:spPr>
                    <a:xfrm>
                      <a:off x="0" y="0"/>
                      <a:ext cx="6272530" cy="3453359"/>
                    </a:xfrm>
                    <a:prstGeom prst="rect">
                      <a:avLst/>
                    </a:prstGeom>
                  </pic:spPr>
                </pic:pic>
              </a:graphicData>
            </a:graphic>
          </wp:inline>
        </w:drawing>
      </w:r>
    </w:p>
    <w:p w:rsidR="007935D5" w:rsidRDefault="007935D5"/>
    <w:p w:rsidR="007935D5" w:rsidRDefault="007935D5"/>
    <w:p w:rsidR="002E672B" w:rsidRPr="002E672B" w:rsidRDefault="002E672B" w:rsidP="002E672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Cs w:val="20"/>
        </w:rPr>
      </w:pPr>
      <w:r w:rsidRPr="002E672B">
        <w:rPr>
          <w:rFonts w:ascii="Courier New" w:eastAsia="Times New Roman" w:hAnsi="Courier New" w:cs="Courier New"/>
          <w:color w:val="E3E3E3"/>
          <w:szCs w:val="20"/>
        </w:rPr>
        <w:t>Churn percentage by payment method:</w:t>
      </w:r>
    </w:p>
    <w:tbl>
      <w:tblPr>
        <w:tblW w:w="10014" w:type="dxa"/>
        <w:tblCellSpacing w:w="0" w:type="dxa"/>
        <w:tblBorders>
          <w:left w:val="single" w:sz="2" w:space="0" w:color="444746"/>
          <w:bottom w:val="single" w:sz="2" w:space="0" w:color="8E918F"/>
        </w:tblBorders>
        <w:tblCellMar>
          <w:top w:w="15" w:type="dxa"/>
          <w:left w:w="15" w:type="dxa"/>
          <w:bottom w:w="15" w:type="dxa"/>
          <w:right w:w="15" w:type="dxa"/>
        </w:tblCellMar>
        <w:tblLook w:val="04A0"/>
      </w:tblPr>
      <w:tblGrid>
        <w:gridCol w:w="6566"/>
        <w:gridCol w:w="1724"/>
        <w:gridCol w:w="1724"/>
      </w:tblGrid>
      <w:tr w:rsidR="002E672B" w:rsidRPr="002E672B" w:rsidTr="00E41F0F">
        <w:trPr>
          <w:trHeight w:val="246"/>
          <w:tblHeader/>
          <w:tblCellSpacing w:w="0" w:type="dxa"/>
        </w:trPr>
        <w:tc>
          <w:tcPr>
            <w:tcW w:w="0" w:type="auto"/>
            <w:tcBorders>
              <w:top w:val="single" w:sz="2" w:space="0" w:color="EEEEEE"/>
              <w:left w:val="single" w:sz="2" w:space="0" w:color="EEEEEE"/>
              <w:bottom w:val="single" w:sz="2" w:space="0" w:color="8E918F"/>
              <w:right w:val="single" w:sz="2" w:space="0" w:color="444746"/>
            </w:tcBorders>
            <w:noWrap/>
            <w:tcMar>
              <w:top w:w="20" w:type="dxa"/>
              <w:left w:w="84" w:type="dxa"/>
              <w:bottom w:w="20" w:type="dxa"/>
              <w:right w:w="84" w:type="dxa"/>
            </w:tcMar>
            <w:vAlign w:val="center"/>
            <w:hideMark/>
          </w:tcPr>
          <w:p w:rsidR="002E672B" w:rsidRPr="002E672B" w:rsidRDefault="002E672B" w:rsidP="002E672B">
            <w:pPr>
              <w:spacing w:after="0" w:line="240" w:lineRule="auto"/>
              <w:jc w:val="center"/>
              <w:rPr>
                <w:rFonts w:ascii="Arial" w:eastAsia="Times New Roman" w:hAnsi="Arial" w:cs="Arial"/>
                <w:b/>
                <w:bCs/>
                <w:color w:val="auto"/>
                <w:szCs w:val="20"/>
              </w:rPr>
            </w:pPr>
            <w:r w:rsidRPr="002E672B">
              <w:rPr>
                <w:rFonts w:ascii="Arial" w:eastAsia="Times New Roman" w:hAnsi="Arial" w:cs="Arial"/>
                <w:b/>
                <w:bCs/>
                <w:color w:val="auto"/>
                <w:szCs w:val="20"/>
              </w:rPr>
              <w:t>PaymentMethod</w:t>
            </w:r>
          </w:p>
        </w:tc>
        <w:tc>
          <w:tcPr>
            <w:tcW w:w="0" w:type="auto"/>
            <w:tcBorders>
              <w:top w:val="single" w:sz="2" w:space="0" w:color="EEEEEE"/>
              <w:left w:val="single" w:sz="2" w:space="0" w:color="EEEEEE"/>
              <w:bottom w:val="single" w:sz="2" w:space="0" w:color="8E918F"/>
              <w:right w:val="single" w:sz="2" w:space="0" w:color="444746"/>
            </w:tcBorders>
            <w:noWrap/>
            <w:tcMar>
              <w:top w:w="20" w:type="dxa"/>
              <w:left w:w="84" w:type="dxa"/>
              <w:bottom w:w="20" w:type="dxa"/>
              <w:right w:w="84" w:type="dxa"/>
            </w:tcMar>
            <w:vAlign w:val="center"/>
            <w:hideMark/>
          </w:tcPr>
          <w:p w:rsidR="002E672B" w:rsidRPr="002E672B" w:rsidRDefault="002E672B" w:rsidP="002E672B">
            <w:pPr>
              <w:spacing w:after="0" w:line="240" w:lineRule="auto"/>
              <w:jc w:val="center"/>
              <w:rPr>
                <w:rFonts w:ascii="Arial" w:eastAsia="Times New Roman" w:hAnsi="Arial" w:cs="Arial"/>
                <w:b/>
                <w:bCs/>
                <w:color w:val="auto"/>
                <w:szCs w:val="20"/>
              </w:rPr>
            </w:pPr>
            <w:r w:rsidRPr="002E672B">
              <w:rPr>
                <w:rFonts w:ascii="Arial" w:eastAsia="Times New Roman" w:hAnsi="Arial" w:cs="Arial"/>
                <w:b/>
                <w:bCs/>
                <w:color w:val="auto"/>
                <w:szCs w:val="20"/>
              </w:rPr>
              <w:t>No</w:t>
            </w:r>
          </w:p>
        </w:tc>
        <w:tc>
          <w:tcPr>
            <w:tcW w:w="0" w:type="auto"/>
            <w:tcBorders>
              <w:top w:val="single" w:sz="2" w:space="0" w:color="EEEEEE"/>
              <w:left w:val="single" w:sz="2" w:space="0" w:color="EEEEEE"/>
              <w:bottom w:val="single" w:sz="2" w:space="0" w:color="8E918F"/>
              <w:right w:val="single" w:sz="2" w:space="0" w:color="444746"/>
            </w:tcBorders>
            <w:noWrap/>
            <w:tcMar>
              <w:top w:w="20" w:type="dxa"/>
              <w:left w:w="84" w:type="dxa"/>
              <w:bottom w:w="20" w:type="dxa"/>
              <w:right w:w="84" w:type="dxa"/>
            </w:tcMar>
            <w:vAlign w:val="center"/>
            <w:hideMark/>
          </w:tcPr>
          <w:p w:rsidR="002E672B" w:rsidRPr="002E672B" w:rsidRDefault="002E672B" w:rsidP="002E672B">
            <w:pPr>
              <w:spacing w:after="0" w:line="240" w:lineRule="auto"/>
              <w:jc w:val="center"/>
              <w:rPr>
                <w:rFonts w:ascii="Arial" w:eastAsia="Times New Roman" w:hAnsi="Arial" w:cs="Arial"/>
                <w:b/>
                <w:bCs/>
                <w:color w:val="auto"/>
                <w:szCs w:val="20"/>
              </w:rPr>
            </w:pPr>
            <w:r w:rsidRPr="002E672B">
              <w:rPr>
                <w:rFonts w:ascii="Arial" w:eastAsia="Times New Roman" w:hAnsi="Arial" w:cs="Arial"/>
                <w:b/>
                <w:bCs/>
                <w:color w:val="auto"/>
                <w:szCs w:val="20"/>
              </w:rPr>
              <w:t>Yes</w:t>
            </w:r>
          </w:p>
        </w:tc>
      </w:tr>
      <w:tr w:rsidR="002E672B" w:rsidRPr="002E672B" w:rsidTr="00E41F0F">
        <w:trPr>
          <w:trHeight w:val="246"/>
          <w:tblCellSpacing w:w="0" w:type="dxa"/>
        </w:trPr>
        <w:tc>
          <w:tcPr>
            <w:tcW w:w="0" w:type="auto"/>
            <w:tcBorders>
              <w:top w:val="single" w:sz="2" w:space="0" w:color="444746"/>
              <w:left w:val="single" w:sz="2" w:space="0" w:color="444746"/>
              <w:bottom w:val="single" w:sz="4" w:space="0" w:color="444746"/>
              <w:right w:val="single" w:sz="4" w:space="0" w:color="444746"/>
            </w:tcBorders>
            <w:shd w:val="clear" w:color="auto" w:fill="282A2C"/>
            <w:noWrap/>
            <w:tcMar>
              <w:top w:w="20" w:type="dxa"/>
              <w:left w:w="84" w:type="dxa"/>
              <w:bottom w:w="20" w:type="dxa"/>
              <w:right w:w="84" w:type="dxa"/>
            </w:tcMar>
            <w:hideMark/>
          </w:tcPr>
          <w:p w:rsidR="002E672B" w:rsidRPr="002E672B" w:rsidRDefault="002E672B" w:rsidP="002E672B">
            <w:pPr>
              <w:spacing w:after="0" w:line="240" w:lineRule="auto"/>
              <w:rPr>
                <w:rFonts w:ascii="Arial" w:eastAsia="Times New Roman" w:hAnsi="Arial" w:cs="Arial"/>
                <w:b/>
                <w:bCs/>
                <w:color w:val="auto"/>
                <w:szCs w:val="20"/>
              </w:rPr>
            </w:pPr>
            <w:r w:rsidRPr="002E672B">
              <w:rPr>
                <w:rFonts w:ascii="Arial" w:eastAsia="Times New Roman" w:hAnsi="Arial" w:cs="Arial"/>
                <w:b/>
                <w:bCs/>
                <w:color w:val="auto"/>
                <w:szCs w:val="20"/>
              </w:rPr>
              <w:t>Bank transfer (automatic)</w:t>
            </w:r>
          </w:p>
        </w:tc>
        <w:tc>
          <w:tcPr>
            <w:tcW w:w="0" w:type="auto"/>
            <w:tcBorders>
              <w:top w:val="single" w:sz="2" w:space="0" w:color="444746"/>
              <w:left w:val="single" w:sz="2" w:space="0" w:color="444746"/>
              <w:bottom w:val="single" w:sz="4" w:space="0" w:color="444746"/>
              <w:right w:val="single" w:sz="4" w:space="0" w:color="444746"/>
            </w:tcBorders>
            <w:shd w:val="clear" w:color="auto" w:fill="282A2C"/>
            <w:noWrap/>
            <w:tcMar>
              <w:top w:w="20" w:type="dxa"/>
              <w:left w:w="84" w:type="dxa"/>
              <w:bottom w:w="20" w:type="dxa"/>
              <w:right w:w="84" w:type="dxa"/>
            </w:tcMar>
            <w:hideMark/>
          </w:tcPr>
          <w:p w:rsidR="002E672B" w:rsidRPr="002E672B" w:rsidRDefault="002E672B" w:rsidP="002E672B">
            <w:pPr>
              <w:spacing w:after="0" w:line="240" w:lineRule="auto"/>
              <w:jc w:val="right"/>
              <w:rPr>
                <w:rFonts w:ascii="Arial" w:eastAsia="Times New Roman" w:hAnsi="Arial" w:cs="Arial"/>
                <w:color w:val="auto"/>
                <w:szCs w:val="20"/>
              </w:rPr>
            </w:pPr>
            <w:r w:rsidRPr="002E672B">
              <w:rPr>
                <w:rFonts w:ascii="Arial" w:eastAsia="Times New Roman" w:hAnsi="Arial" w:cs="Arial"/>
                <w:color w:val="auto"/>
                <w:szCs w:val="20"/>
              </w:rPr>
              <w:t>83.29</w:t>
            </w:r>
          </w:p>
        </w:tc>
        <w:tc>
          <w:tcPr>
            <w:tcW w:w="0" w:type="auto"/>
            <w:tcBorders>
              <w:top w:val="single" w:sz="2" w:space="0" w:color="444746"/>
              <w:left w:val="single" w:sz="2" w:space="0" w:color="444746"/>
              <w:bottom w:val="single" w:sz="4" w:space="0" w:color="444746"/>
              <w:right w:val="single" w:sz="4" w:space="0" w:color="444746"/>
            </w:tcBorders>
            <w:shd w:val="clear" w:color="auto" w:fill="282A2C"/>
            <w:noWrap/>
            <w:tcMar>
              <w:top w:w="20" w:type="dxa"/>
              <w:left w:w="84" w:type="dxa"/>
              <w:bottom w:w="20" w:type="dxa"/>
              <w:right w:w="84" w:type="dxa"/>
            </w:tcMar>
            <w:hideMark/>
          </w:tcPr>
          <w:p w:rsidR="002E672B" w:rsidRPr="002E672B" w:rsidRDefault="002E672B" w:rsidP="002E672B">
            <w:pPr>
              <w:spacing w:after="0" w:line="240" w:lineRule="auto"/>
              <w:jc w:val="right"/>
              <w:rPr>
                <w:rFonts w:ascii="Arial" w:eastAsia="Times New Roman" w:hAnsi="Arial" w:cs="Arial"/>
                <w:color w:val="auto"/>
                <w:szCs w:val="20"/>
              </w:rPr>
            </w:pPr>
            <w:r w:rsidRPr="002E672B">
              <w:rPr>
                <w:rFonts w:ascii="Arial" w:eastAsia="Times New Roman" w:hAnsi="Arial" w:cs="Arial"/>
                <w:color w:val="auto"/>
                <w:szCs w:val="20"/>
              </w:rPr>
              <w:t>16.71</w:t>
            </w:r>
          </w:p>
        </w:tc>
      </w:tr>
      <w:tr w:rsidR="002E672B" w:rsidRPr="002E672B" w:rsidTr="00E41F0F">
        <w:trPr>
          <w:trHeight w:val="246"/>
          <w:tblCellSpacing w:w="0" w:type="dxa"/>
        </w:trPr>
        <w:tc>
          <w:tcPr>
            <w:tcW w:w="0" w:type="auto"/>
            <w:tcBorders>
              <w:top w:val="single" w:sz="2" w:space="0" w:color="444746"/>
              <w:left w:val="single" w:sz="2" w:space="0" w:color="444746"/>
              <w:bottom w:val="single" w:sz="4" w:space="0" w:color="444746"/>
              <w:right w:val="single" w:sz="4" w:space="0" w:color="444746"/>
            </w:tcBorders>
            <w:shd w:val="clear" w:color="auto" w:fill="474747"/>
            <w:noWrap/>
            <w:tcMar>
              <w:top w:w="20" w:type="dxa"/>
              <w:left w:w="84" w:type="dxa"/>
              <w:bottom w:w="20" w:type="dxa"/>
              <w:right w:w="84" w:type="dxa"/>
            </w:tcMar>
            <w:hideMark/>
          </w:tcPr>
          <w:p w:rsidR="002E672B" w:rsidRPr="002E672B" w:rsidRDefault="002E672B" w:rsidP="002E672B">
            <w:pPr>
              <w:spacing w:after="0" w:line="240" w:lineRule="auto"/>
              <w:rPr>
                <w:rFonts w:ascii="Arial" w:eastAsia="Times New Roman" w:hAnsi="Arial" w:cs="Arial"/>
                <w:b/>
                <w:bCs/>
                <w:color w:val="auto"/>
                <w:szCs w:val="20"/>
              </w:rPr>
            </w:pPr>
            <w:r w:rsidRPr="002E672B">
              <w:rPr>
                <w:rFonts w:ascii="Arial" w:eastAsia="Times New Roman" w:hAnsi="Arial" w:cs="Arial"/>
                <w:b/>
                <w:bCs/>
                <w:color w:val="auto"/>
                <w:szCs w:val="20"/>
              </w:rPr>
              <w:t>Credit card (automatic)</w:t>
            </w:r>
          </w:p>
        </w:tc>
        <w:tc>
          <w:tcPr>
            <w:tcW w:w="0" w:type="auto"/>
            <w:tcBorders>
              <w:top w:val="single" w:sz="2" w:space="0" w:color="444746"/>
              <w:left w:val="single" w:sz="2" w:space="0" w:color="444746"/>
              <w:bottom w:val="single" w:sz="4" w:space="0" w:color="444746"/>
              <w:right w:val="single" w:sz="4" w:space="0" w:color="444746"/>
            </w:tcBorders>
            <w:shd w:val="clear" w:color="auto" w:fill="474747"/>
            <w:noWrap/>
            <w:tcMar>
              <w:top w:w="20" w:type="dxa"/>
              <w:left w:w="84" w:type="dxa"/>
              <w:bottom w:w="20" w:type="dxa"/>
              <w:right w:w="84" w:type="dxa"/>
            </w:tcMar>
            <w:hideMark/>
          </w:tcPr>
          <w:p w:rsidR="002E672B" w:rsidRPr="002E672B" w:rsidRDefault="002E672B" w:rsidP="002E672B">
            <w:pPr>
              <w:spacing w:after="0" w:line="240" w:lineRule="auto"/>
              <w:jc w:val="right"/>
              <w:rPr>
                <w:rFonts w:ascii="Arial" w:eastAsia="Times New Roman" w:hAnsi="Arial" w:cs="Arial"/>
                <w:color w:val="auto"/>
                <w:szCs w:val="20"/>
              </w:rPr>
            </w:pPr>
            <w:r w:rsidRPr="002E672B">
              <w:rPr>
                <w:rFonts w:ascii="Arial" w:eastAsia="Times New Roman" w:hAnsi="Arial" w:cs="Arial"/>
                <w:color w:val="auto"/>
                <w:szCs w:val="20"/>
              </w:rPr>
              <w:t>84.76</w:t>
            </w:r>
          </w:p>
        </w:tc>
        <w:tc>
          <w:tcPr>
            <w:tcW w:w="0" w:type="auto"/>
            <w:tcBorders>
              <w:top w:val="single" w:sz="2" w:space="0" w:color="444746"/>
              <w:left w:val="single" w:sz="2" w:space="0" w:color="444746"/>
              <w:bottom w:val="single" w:sz="4" w:space="0" w:color="444746"/>
              <w:right w:val="single" w:sz="4" w:space="0" w:color="444746"/>
            </w:tcBorders>
            <w:shd w:val="clear" w:color="auto" w:fill="474747"/>
            <w:noWrap/>
            <w:tcMar>
              <w:top w:w="20" w:type="dxa"/>
              <w:left w:w="84" w:type="dxa"/>
              <w:bottom w:w="20" w:type="dxa"/>
              <w:right w:w="84" w:type="dxa"/>
            </w:tcMar>
            <w:hideMark/>
          </w:tcPr>
          <w:p w:rsidR="002E672B" w:rsidRPr="002E672B" w:rsidRDefault="002E672B" w:rsidP="002E672B">
            <w:pPr>
              <w:spacing w:after="0" w:line="240" w:lineRule="auto"/>
              <w:jc w:val="right"/>
              <w:rPr>
                <w:rFonts w:ascii="Arial" w:eastAsia="Times New Roman" w:hAnsi="Arial" w:cs="Arial"/>
                <w:color w:val="auto"/>
                <w:szCs w:val="20"/>
              </w:rPr>
            </w:pPr>
            <w:r w:rsidRPr="002E672B">
              <w:rPr>
                <w:rFonts w:ascii="Arial" w:eastAsia="Times New Roman" w:hAnsi="Arial" w:cs="Arial"/>
                <w:color w:val="auto"/>
                <w:szCs w:val="20"/>
              </w:rPr>
              <w:t>15.24</w:t>
            </w:r>
          </w:p>
        </w:tc>
      </w:tr>
      <w:tr w:rsidR="002E672B" w:rsidRPr="002E672B" w:rsidTr="00E41F0F">
        <w:trPr>
          <w:trHeight w:val="233"/>
          <w:tblCellSpacing w:w="0" w:type="dxa"/>
        </w:trPr>
        <w:tc>
          <w:tcPr>
            <w:tcW w:w="0" w:type="auto"/>
            <w:tcBorders>
              <w:top w:val="single" w:sz="2" w:space="0" w:color="444746"/>
              <w:left w:val="single" w:sz="2" w:space="0" w:color="444746"/>
              <w:bottom w:val="single" w:sz="4" w:space="0" w:color="444746"/>
              <w:right w:val="single" w:sz="4" w:space="0" w:color="444746"/>
            </w:tcBorders>
            <w:shd w:val="clear" w:color="auto" w:fill="282A2C"/>
            <w:noWrap/>
            <w:tcMar>
              <w:top w:w="20" w:type="dxa"/>
              <w:left w:w="84" w:type="dxa"/>
              <w:bottom w:w="20" w:type="dxa"/>
              <w:right w:w="84" w:type="dxa"/>
            </w:tcMar>
            <w:hideMark/>
          </w:tcPr>
          <w:p w:rsidR="002E672B" w:rsidRPr="002E672B" w:rsidRDefault="002E672B" w:rsidP="002E672B">
            <w:pPr>
              <w:spacing w:after="0" w:line="240" w:lineRule="auto"/>
              <w:rPr>
                <w:rFonts w:ascii="Arial" w:eastAsia="Times New Roman" w:hAnsi="Arial" w:cs="Arial"/>
                <w:b/>
                <w:bCs/>
                <w:color w:val="auto"/>
                <w:szCs w:val="20"/>
              </w:rPr>
            </w:pPr>
            <w:r w:rsidRPr="002E672B">
              <w:rPr>
                <w:rFonts w:ascii="Arial" w:eastAsia="Times New Roman" w:hAnsi="Arial" w:cs="Arial"/>
                <w:b/>
                <w:bCs/>
                <w:color w:val="auto"/>
                <w:szCs w:val="20"/>
              </w:rPr>
              <w:t>Electronic check</w:t>
            </w:r>
          </w:p>
        </w:tc>
        <w:tc>
          <w:tcPr>
            <w:tcW w:w="0" w:type="auto"/>
            <w:tcBorders>
              <w:top w:val="single" w:sz="2" w:space="0" w:color="444746"/>
              <w:left w:val="single" w:sz="2" w:space="0" w:color="444746"/>
              <w:bottom w:val="single" w:sz="4" w:space="0" w:color="444746"/>
              <w:right w:val="single" w:sz="4" w:space="0" w:color="444746"/>
            </w:tcBorders>
            <w:shd w:val="clear" w:color="auto" w:fill="282A2C"/>
            <w:noWrap/>
            <w:tcMar>
              <w:top w:w="20" w:type="dxa"/>
              <w:left w:w="84" w:type="dxa"/>
              <w:bottom w:w="20" w:type="dxa"/>
              <w:right w:w="84" w:type="dxa"/>
            </w:tcMar>
            <w:hideMark/>
          </w:tcPr>
          <w:p w:rsidR="002E672B" w:rsidRPr="002E672B" w:rsidRDefault="002E672B" w:rsidP="002E672B">
            <w:pPr>
              <w:spacing w:after="0" w:line="240" w:lineRule="auto"/>
              <w:jc w:val="right"/>
              <w:rPr>
                <w:rFonts w:ascii="Arial" w:eastAsia="Times New Roman" w:hAnsi="Arial" w:cs="Arial"/>
                <w:color w:val="auto"/>
                <w:szCs w:val="20"/>
              </w:rPr>
            </w:pPr>
            <w:r w:rsidRPr="002E672B">
              <w:rPr>
                <w:rFonts w:ascii="Arial" w:eastAsia="Times New Roman" w:hAnsi="Arial" w:cs="Arial"/>
                <w:color w:val="auto"/>
                <w:szCs w:val="20"/>
              </w:rPr>
              <w:t>54.71</w:t>
            </w:r>
          </w:p>
        </w:tc>
        <w:tc>
          <w:tcPr>
            <w:tcW w:w="0" w:type="auto"/>
            <w:tcBorders>
              <w:top w:val="single" w:sz="2" w:space="0" w:color="444746"/>
              <w:left w:val="single" w:sz="2" w:space="0" w:color="444746"/>
              <w:bottom w:val="single" w:sz="4" w:space="0" w:color="444746"/>
              <w:right w:val="single" w:sz="4" w:space="0" w:color="444746"/>
            </w:tcBorders>
            <w:shd w:val="clear" w:color="auto" w:fill="282A2C"/>
            <w:noWrap/>
            <w:tcMar>
              <w:top w:w="20" w:type="dxa"/>
              <w:left w:w="84" w:type="dxa"/>
              <w:bottom w:w="20" w:type="dxa"/>
              <w:right w:w="84" w:type="dxa"/>
            </w:tcMar>
            <w:hideMark/>
          </w:tcPr>
          <w:p w:rsidR="002E672B" w:rsidRPr="002E672B" w:rsidRDefault="002E672B" w:rsidP="002E672B">
            <w:pPr>
              <w:spacing w:after="0" w:line="240" w:lineRule="auto"/>
              <w:jc w:val="right"/>
              <w:rPr>
                <w:rFonts w:ascii="Arial" w:eastAsia="Times New Roman" w:hAnsi="Arial" w:cs="Arial"/>
                <w:color w:val="auto"/>
                <w:szCs w:val="20"/>
              </w:rPr>
            </w:pPr>
            <w:r w:rsidRPr="002E672B">
              <w:rPr>
                <w:rFonts w:ascii="Arial" w:eastAsia="Times New Roman" w:hAnsi="Arial" w:cs="Arial"/>
                <w:color w:val="auto"/>
                <w:szCs w:val="20"/>
              </w:rPr>
              <w:t>45.29</w:t>
            </w:r>
          </w:p>
        </w:tc>
      </w:tr>
      <w:tr w:rsidR="002E672B" w:rsidRPr="002E672B" w:rsidTr="00E41F0F">
        <w:trPr>
          <w:trHeight w:val="259"/>
          <w:tblCellSpacing w:w="0" w:type="dxa"/>
        </w:trPr>
        <w:tc>
          <w:tcPr>
            <w:tcW w:w="0" w:type="auto"/>
            <w:tcBorders>
              <w:top w:val="single" w:sz="2" w:space="0" w:color="444746"/>
              <w:left w:val="single" w:sz="2" w:space="0" w:color="444746"/>
              <w:bottom w:val="single" w:sz="4" w:space="0" w:color="444746"/>
              <w:right w:val="single" w:sz="4" w:space="0" w:color="444746"/>
            </w:tcBorders>
            <w:noWrap/>
            <w:tcMar>
              <w:top w:w="20" w:type="dxa"/>
              <w:left w:w="84" w:type="dxa"/>
              <w:bottom w:w="20" w:type="dxa"/>
              <w:right w:w="84" w:type="dxa"/>
            </w:tcMar>
            <w:hideMark/>
          </w:tcPr>
          <w:p w:rsidR="002E672B" w:rsidRPr="002E672B" w:rsidRDefault="002E672B" w:rsidP="002E672B">
            <w:pPr>
              <w:spacing w:after="0" w:line="240" w:lineRule="auto"/>
              <w:rPr>
                <w:rFonts w:ascii="Arial" w:eastAsia="Times New Roman" w:hAnsi="Arial" w:cs="Arial"/>
                <w:b/>
                <w:bCs/>
                <w:color w:val="auto"/>
                <w:szCs w:val="20"/>
              </w:rPr>
            </w:pPr>
            <w:r w:rsidRPr="002E672B">
              <w:rPr>
                <w:rFonts w:ascii="Arial" w:eastAsia="Times New Roman" w:hAnsi="Arial" w:cs="Arial"/>
                <w:b/>
                <w:bCs/>
                <w:color w:val="auto"/>
                <w:szCs w:val="20"/>
              </w:rPr>
              <w:t>Mailed check</w:t>
            </w:r>
          </w:p>
        </w:tc>
        <w:tc>
          <w:tcPr>
            <w:tcW w:w="0" w:type="auto"/>
            <w:tcBorders>
              <w:top w:val="single" w:sz="2" w:space="0" w:color="444746"/>
              <w:left w:val="single" w:sz="2" w:space="0" w:color="444746"/>
              <w:bottom w:val="single" w:sz="4" w:space="0" w:color="444746"/>
              <w:right w:val="single" w:sz="4" w:space="0" w:color="444746"/>
            </w:tcBorders>
            <w:noWrap/>
            <w:tcMar>
              <w:top w:w="20" w:type="dxa"/>
              <w:left w:w="84" w:type="dxa"/>
              <w:bottom w:w="20" w:type="dxa"/>
              <w:right w:w="84" w:type="dxa"/>
            </w:tcMar>
            <w:hideMark/>
          </w:tcPr>
          <w:p w:rsidR="002E672B" w:rsidRPr="002E672B" w:rsidRDefault="002E672B" w:rsidP="002E672B">
            <w:pPr>
              <w:spacing w:after="0" w:line="240" w:lineRule="auto"/>
              <w:jc w:val="right"/>
              <w:rPr>
                <w:rFonts w:ascii="Arial" w:eastAsia="Times New Roman" w:hAnsi="Arial" w:cs="Arial"/>
                <w:color w:val="auto"/>
                <w:szCs w:val="20"/>
              </w:rPr>
            </w:pPr>
            <w:r w:rsidRPr="002E672B">
              <w:rPr>
                <w:rFonts w:ascii="Arial" w:eastAsia="Times New Roman" w:hAnsi="Arial" w:cs="Arial"/>
                <w:color w:val="auto"/>
                <w:szCs w:val="20"/>
              </w:rPr>
              <w:t>80.89</w:t>
            </w:r>
          </w:p>
        </w:tc>
        <w:tc>
          <w:tcPr>
            <w:tcW w:w="0" w:type="auto"/>
            <w:tcBorders>
              <w:top w:val="single" w:sz="2" w:space="0" w:color="444746"/>
              <w:left w:val="single" w:sz="2" w:space="0" w:color="444746"/>
              <w:bottom w:val="single" w:sz="4" w:space="0" w:color="444746"/>
              <w:right w:val="single" w:sz="4" w:space="0" w:color="444746"/>
            </w:tcBorders>
            <w:noWrap/>
            <w:tcMar>
              <w:top w:w="20" w:type="dxa"/>
              <w:left w:w="84" w:type="dxa"/>
              <w:bottom w:w="20" w:type="dxa"/>
              <w:right w:w="84" w:type="dxa"/>
            </w:tcMar>
            <w:hideMark/>
          </w:tcPr>
          <w:p w:rsidR="002E672B" w:rsidRPr="002E672B" w:rsidRDefault="002E672B" w:rsidP="002E672B">
            <w:pPr>
              <w:spacing w:after="0" w:line="240" w:lineRule="auto"/>
              <w:jc w:val="right"/>
              <w:rPr>
                <w:rFonts w:ascii="Arial" w:eastAsia="Times New Roman" w:hAnsi="Arial" w:cs="Arial"/>
                <w:color w:val="auto"/>
                <w:szCs w:val="20"/>
              </w:rPr>
            </w:pPr>
            <w:r w:rsidRPr="002E672B">
              <w:rPr>
                <w:rFonts w:ascii="Arial" w:eastAsia="Times New Roman" w:hAnsi="Arial" w:cs="Arial"/>
                <w:color w:val="auto"/>
                <w:szCs w:val="20"/>
              </w:rPr>
              <w:t>19.11</w:t>
            </w:r>
          </w:p>
        </w:tc>
      </w:tr>
    </w:tbl>
    <w:p w:rsidR="002E672B" w:rsidRDefault="002E672B">
      <w:pPr>
        <w:rPr>
          <w:rFonts w:hint="eastAsia"/>
        </w:rPr>
      </w:pPr>
    </w:p>
    <w:p w:rsidR="00A20DCD" w:rsidRDefault="005913AE">
      <w:pPr>
        <w:pStyle w:val="Caption"/>
        <w:jc w:val="center"/>
      </w:pPr>
      <w:r>
        <w:t>Figure 8. Churn rate by payment method.</w:t>
      </w:r>
    </w:p>
    <w:p w:rsidR="007935D5" w:rsidRPr="007935D5" w:rsidRDefault="007935D5" w:rsidP="007935D5">
      <w:pPr>
        <w:rPr>
          <w:rFonts w:hint="eastAsia"/>
        </w:rPr>
      </w:pPr>
    </w:p>
    <w:p w:rsidR="00A20DCD" w:rsidRDefault="005913AE">
      <w:pPr>
        <w:pStyle w:val="Heading2"/>
      </w:pPr>
      <w:r>
        <w:t>4.9 Descriptive Statistical Summary</w:t>
      </w:r>
    </w:p>
    <w:tbl>
      <w:tblPr>
        <w:tblStyle w:val="TableGrid"/>
        <w:tblW w:w="0" w:type="auto"/>
        <w:jc w:val="center"/>
        <w:tblLook w:val="04A0"/>
      </w:tblPr>
      <w:tblGrid>
        <w:gridCol w:w="2880"/>
        <w:gridCol w:w="2088"/>
        <w:gridCol w:w="2160"/>
        <w:gridCol w:w="2232"/>
      </w:tblGrid>
      <w:tr w:rsidR="00A20DCD">
        <w:trPr>
          <w:jc w:val="center"/>
        </w:trPr>
        <w:tc>
          <w:tcPr>
            <w:tcW w:w="2880" w:type="dxa"/>
            <w:shd w:val="clear" w:color="auto" w:fill="17365D"/>
            <w:vAlign w:val="center"/>
          </w:tcPr>
          <w:p w:rsidR="00A20DCD" w:rsidRDefault="005913AE">
            <w:pPr>
              <w:spacing w:after="0"/>
              <w:rPr>
                <w:rFonts w:hint="eastAsia"/>
              </w:rPr>
            </w:pPr>
            <w:r>
              <w:rPr>
                <w:b/>
                <w:color w:val="FFFFFF"/>
                <w:sz w:val="17"/>
              </w:rPr>
              <w:t>Statistic</w:t>
            </w:r>
          </w:p>
        </w:tc>
        <w:tc>
          <w:tcPr>
            <w:tcW w:w="2088" w:type="dxa"/>
            <w:shd w:val="clear" w:color="auto" w:fill="17365D"/>
            <w:vAlign w:val="center"/>
          </w:tcPr>
          <w:p w:rsidR="00A20DCD" w:rsidRDefault="005913AE">
            <w:pPr>
              <w:spacing w:after="0"/>
              <w:rPr>
                <w:rFonts w:hint="eastAsia"/>
              </w:rPr>
            </w:pPr>
            <w:r>
              <w:rPr>
                <w:b/>
                <w:color w:val="FFFFFF"/>
                <w:sz w:val="17"/>
              </w:rPr>
              <w:t>Tenure (months)</w:t>
            </w:r>
          </w:p>
        </w:tc>
        <w:tc>
          <w:tcPr>
            <w:tcW w:w="2160" w:type="dxa"/>
            <w:shd w:val="clear" w:color="auto" w:fill="17365D"/>
            <w:vAlign w:val="center"/>
          </w:tcPr>
          <w:p w:rsidR="00A20DCD" w:rsidRDefault="005913AE">
            <w:pPr>
              <w:spacing w:after="0"/>
              <w:rPr>
                <w:rFonts w:hint="eastAsia"/>
              </w:rPr>
            </w:pPr>
            <w:r>
              <w:rPr>
                <w:b/>
                <w:color w:val="FFFFFF"/>
                <w:sz w:val="17"/>
              </w:rPr>
              <w:t>MonthlyCharges</w:t>
            </w:r>
          </w:p>
        </w:tc>
        <w:tc>
          <w:tcPr>
            <w:tcW w:w="2232" w:type="dxa"/>
            <w:shd w:val="clear" w:color="auto" w:fill="17365D"/>
            <w:vAlign w:val="center"/>
          </w:tcPr>
          <w:p w:rsidR="00A20DCD" w:rsidRDefault="005913AE">
            <w:pPr>
              <w:spacing w:after="0"/>
              <w:rPr>
                <w:rFonts w:hint="eastAsia"/>
              </w:rPr>
            </w:pPr>
            <w:r>
              <w:rPr>
                <w:b/>
                <w:color w:val="FFFFFF"/>
                <w:sz w:val="17"/>
              </w:rPr>
              <w:t>TotalCharges</w:t>
            </w:r>
          </w:p>
        </w:tc>
      </w:tr>
      <w:tr w:rsidR="00A20DCD">
        <w:trPr>
          <w:jc w:val="center"/>
        </w:trPr>
        <w:tc>
          <w:tcPr>
            <w:tcW w:w="2880" w:type="dxa"/>
            <w:vAlign w:val="center"/>
          </w:tcPr>
          <w:p w:rsidR="00A20DCD" w:rsidRDefault="005913AE">
            <w:pPr>
              <w:spacing w:after="0"/>
              <w:rPr>
                <w:rFonts w:hint="eastAsia"/>
              </w:rPr>
            </w:pPr>
            <w:r>
              <w:rPr>
                <w:sz w:val="17"/>
              </w:rPr>
              <w:t>Count</w:t>
            </w:r>
          </w:p>
        </w:tc>
        <w:tc>
          <w:tcPr>
            <w:tcW w:w="2088" w:type="dxa"/>
            <w:vAlign w:val="center"/>
          </w:tcPr>
          <w:p w:rsidR="00A20DCD" w:rsidRDefault="005913AE">
            <w:pPr>
              <w:spacing w:after="0"/>
              <w:rPr>
                <w:rFonts w:hint="eastAsia"/>
              </w:rPr>
            </w:pPr>
            <w:r>
              <w:rPr>
                <w:sz w:val="17"/>
              </w:rPr>
              <w:t>7,043</w:t>
            </w:r>
          </w:p>
        </w:tc>
        <w:tc>
          <w:tcPr>
            <w:tcW w:w="2160" w:type="dxa"/>
            <w:vAlign w:val="center"/>
          </w:tcPr>
          <w:p w:rsidR="00A20DCD" w:rsidRDefault="005913AE">
            <w:pPr>
              <w:spacing w:after="0"/>
              <w:rPr>
                <w:rFonts w:hint="eastAsia"/>
              </w:rPr>
            </w:pPr>
            <w:r>
              <w:rPr>
                <w:sz w:val="17"/>
              </w:rPr>
              <w:t>7,043</w:t>
            </w:r>
          </w:p>
        </w:tc>
        <w:tc>
          <w:tcPr>
            <w:tcW w:w="2232" w:type="dxa"/>
            <w:vAlign w:val="center"/>
          </w:tcPr>
          <w:p w:rsidR="00A20DCD" w:rsidRDefault="005913AE">
            <w:pPr>
              <w:spacing w:after="0"/>
              <w:rPr>
                <w:rFonts w:hint="eastAsia"/>
              </w:rPr>
            </w:pPr>
            <w:r>
              <w:rPr>
                <w:sz w:val="17"/>
              </w:rPr>
              <w:t>7,043</w:t>
            </w:r>
          </w:p>
        </w:tc>
      </w:tr>
      <w:tr w:rsidR="00A20DCD">
        <w:trPr>
          <w:jc w:val="center"/>
        </w:trPr>
        <w:tc>
          <w:tcPr>
            <w:tcW w:w="2880" w:type="dxa"/>
            <w:shd w:val="clear" w:color="auto" w:fill="F0F4F8"/>
            <w:vAlign w:val="center"/>
          </w:tcPr>
          <w:p w:rsidR="00A20DCD" w:rsidRDefault="005913AE">
            <w:pPr>
              <w:spacing w:after="0"/>
              <w:rPr>
                <w:rFonts w:hint="eastAsia"/>
              </w:rPr>
            </w:pPr>
            <w:r>
              <w:rPr>
                <w:sz w:val="17"/>
              </w:rPr>
              <w:t>Mean</w:t>
            </w:r>
          </w:p>
        </w:tc>
        <w:tc>
          <w:tcPr>
            <w:tcW w:w="2088" w:type="dxa"/>
            <w:shd w:val="clear" w:color="auto" w:fill="F0F4F8"/>
            <w:vAlign w:val="center"/>
          </w:tcPr>
          <w:p w:rsidR="00A20DCD" w:rsidRDefault="005913AE">
            <w:pPr>
              <w:spacing w:after="0"/>
              <w:rPr>
                <w:rFonts w:hint="eastAsia"/>
              </w:rPr>
            </w:pPr>
            <w:r>
              <w:rPr>
                <w:sz w:val="17"/>
              </w:rPr>
              <w:t>32.37</w:t>
            </w:r>
          </w:p>
        </w:tc>
        <w:tc>
          <w:tcPr>
            <w:tcW w:w="2160" w:type="dxa"/>
            <w:shd w:val="clear" w:color="auto" w:fill="F0F4F8"/>
            <w:vAlign w:val="center"/>
          </w:tcPr>
          <w:p w:rsidR="00A20DCD" w:rsidRDefault="005913AE">
            <w:pPr>
              <w:spacing w:after="0"/>
              <w:rPr>
                <w:rFonts w:hint="eastAsia"/>
              </w:rPr>
            </w:pPr>
            <w:r>
              <w:rPr>
                <w:sz w:val="17"/>
              </w:rPr>
              <w:t>64.76</w:t>
            </w:r>
          </w:p>
        </w:tc>
        <w:tc>
          <w:tcPr>
            <w:tcW w:w="2232" w:type="dxa"/>
            <w:shd w:val="clear" w:color="auto" w:fill="F0F4F8"/>
            <w:vAlign w:val="center"/>
          </w:tcPr>
          <w:p w:rsidR="00A20DCD" w:rsidRDefault="005913AE">
            <w:pPr>
              <w:spacing w:after="0"/>
              <w:rPr>
                <w:rFonts w:hint="eastAsia"/>
              </w:rPr>
            </w:pPr>
            <w:r>
              <w:rPr>
                <w:sz w:val="17"/>
              </w:rPr>
              <w:t>2,279.73</w:t>
            </w:r>
          </w:p>
        </w:tc>
      </w:tr>
      <w:tr w:rsidR="00A20DCD">
        <w:trPr>
          <w:jc w:val="center"/>
        </w:trPr>
        <w:tc>
          <w:tcPr>
            <w:tcW w:w="2880" w:type="dxa"/>
            <w:vAlign w:val="center"/>
          </w:tcPr>
          <w:p w:rsidR="00A20DCD" w:rsidRDefault="005913AE">
            <w:pPr>
              <w:spacing w:after="0"/>
              <w:rPr>
                <w:rFonts w:hint="eastAsia"/>
              </w:rPr>
            </w:pPr>
            <w:r>
              <w:rPr>
                <w:sz w:val="17"/>
              </w:rPr>
              <w:t>Standard deviation</w:t>
            </w:r>
          </w:p>
        </w:tc>
        <w:tc>
          <w:tcPr>
            <w:tcW w:w="2088" w:type="dxa"/>
            <w:vAlign w:val="center"/>
          </w:tcPr>
          <w:p w:rsidR="00A20DCD" w:rsidRDefault="005913AE">
            <w:pPr>
              <w:spacing w:after="0"/>
              <w:rPr>
                <w:rFonts w:hint="eastAsia"/>
              </w:rPr>
            </w:pPr>
            <w:r>
              <w:rPr>
                <w:sz w:val="17"/>
              </w:rPr>
              <w:t>24.56</w:t>
            </w:r>
          </w:p>
        </w:tc>
        <w:tc>
          <w:tcPr>
            <w:tcW w:w="2160" w:type="dxa"/>
            <w:vAlign w:val="center"/>
          </w:tcPr>
          <w:p w:rsidR="00A20DCD" w:rsidRDefault="005913AE">
            <w:pPr>
              <w:spacing w:after="0"/>
              <w:rPr>
                <w:rFonts w:hint="eastAsia"/>
              </w:rPr>
            </w:pPr>
            <w:r>
              <w:rPr>
                <w:sz w:val="17"/>
              </w:rPr>
              <w:t>30.09</w:t>
            </w:r>
          </w:p>
        </w:tc>
        <w:tc>
          <w:tcPr>
            <w:tcW w:w="2232" w:type="dxa"/>
            <w:vAlign w:val="center"/>
          </w:tcPr>
          <w:p w:rsidR="00A20DCD" w:rsidRDefault="005913AE">
            <w:pPr>
              <w:spacing w:after="0"/>
              <w:rPr>
                <w:rFonts w:hint="eastAsia"/>
              </w:rPr>
            </w:pPr>
            <w:r>
              <w:rPr>
                <w:sz w:val="17"/>
              </w:rPr>
              <w:t>2,266.79</w:t>
            </w:r>
          </w:p>
        </w:tc>
      </w:tr>
      <w:tr w:rsidR="00A20DCD">
        <w:trPr>
          <w:jc w:val="center"/>
        </w:trPr>
        <w:tc>
          <w:tcPr>
            <w:tcW w:w="2880" w:type="dxa"/>
            <w:shd w:val="clear" w:color="auto" w:fill="F0F4F8"/>
            <w:vAlign w:val="center"/>
          </w:tcPr>
          <w:p w:rsidR="00A20DCD" w:rsidRDefault="005913AE">
            <w:pPr>
              <w:spacing w:after="0"/>
              <w:rPr>
                <w:rFonts w:hint="eastAsia"/>
              </w:rPr>
            </w:pPr>
            <w:r>
              <w:rPr>
                <w:sz w:val="17"/>
              </w:rPr>
              <w:t>Minimum</w:t>
            </w:r>
          </w:p>
        </w:tc>
        <w:tc>
          <w:tcPr>
            <w:tcW w:w="2088" w:type="dxa"/>
            <w:shd w:val="clear" w:color="auto" w:fill="F0F4F8"/>
            <w:vAlign w:val="center"/>
          </w:tcPr>
          <w:p w:rsidR="00A20DCD" w:rsidRDefault="005913AE">
            <w:pPr>
              <w:spacing w:after="0"/>
              <w:rPr>
                <w:rFonts w:hint="eastAsia"/>
              </w:rPr>
            </w:pPr>
            <w:r>
              <w:rPr>
                <w:sz w:val="17"/>
              </w:rPr>
              <w:t>0.00</w:t>
            </w:r>
          </w:p>
        </w:tc>
        <w:tc>
          <w:tcPr>
            <w:tcW w:w="2160" w:type="dxa"/>
            <w:shd w:val="clear" w:color="auto" w:fill="F0F4F8"/>
            <w:vAlign w:val="center"/>
          </w:tcPr>
          <w:p w:rsidR="00A20DCD" w:rsidRDefault="005913AE">
            <w:pPr>
              <w:spacing w:after="0"/>
              <w:rPr>
                <w:rFonts w:hint="eastAsia"/>
              </w:rPr>
            </w:pPr>
            <w:r>
              <w:rPr>
                <w:sz w:val="17"/>
              </w:rPr>
              <w:t>18.25</w:t>
            </w:r>
          </w:p>
        </w:tc>
        <w:tc>
          <w:tcPr>
            <w:tcW w:w="2232" w:type="dxa"/>
            <w:shd w:val="clear" w:color="auto" w:fill="F0F4F8"/>
            <w:vAlign w:val="center"/>
          </w:tcPr>
          <w:p w:rsidR="00A20DCD" w:rsidRDefault="005913AE">
            <w:pPr>
              <w:spacing w:after="0"/>
              <w:rPr>
                <w:rFonts w:hint="eastAsia"/>
              </w:rPr>
            </w:pPr>
            <w:r>
              <w:rPr>
                <w:sz w:val="17"/>
              </w:rPr>
              <w:t>0.00</w:t>
            </w:r>
          </w:p>
        </w:tc>
      </w:tr>
      <w:tr w:rsidR="00A20DCD">
        <w:trPr>
          <w:jc w:val="center"/>
        </w:trPr>
        <w:tc>
          <w:tcPr>
            <w:tcW w:w="2880" w:type="dxa"/>
            <w:vAlign w:val="center"/>
          </w:tcPr>
          <w:p w:rsidR="00A20DCD" w:rsidRDefault="005913AE">
            <w:pPr>
              <w:spacing w:after="0"/>
              <w:rPr>
                <w:rFonts w:hint="eastAsia"/>
              </w:rPr>
            </w:pPr>
            <w:r>
              <w:rPr>
                <w:sz w:val="17"/>
              </w:rPr>
              <w:t>25th percentile</w:t>
            </w:r>
          </w:p>
        </w:tc>
        <w:tc>
          <w:tcPr>
            <w:tcW w:w="2088" w:type="dxa"/>
            <w:vAlign w:val="center"/>
          </w:tcPr>
          <w:p w:rsidR="00A20DCD" w:rsidRDefault="005913AE">
            <w:pPr>
              <w:spacing w:after="0"/>
              <w:rPr>
                <w:rFonts w:hint="eastAsia"/>
              </w:rPr>
            </w:pPr>
            <w:r>
              <w:rPr>
                <w:sz w:val="17"/>
              </w:rPr>
              <w:t>9.00</w:t>
            </w:r>
          </w:p>
        </w:tc>
        <w:tc>
          <w:tcPr>
            <w:tcW w:w="2160" w:type="dxa"/>
            <w:vAlign w:val="center"/>
          </w:tcPr>
          <w:p w:rsidR="00A20DCD" w:rsidRDefault="005913AE">
            <w:pPr>
              <w:spacing w:after="0"/>
              <w:rPr>
                <w:rFonts w:hint="eastAsia"/>
              </w:rPr>
            </w:pPr>
            <w:r>
              <w:rPr>
                <w:sz w:val="17"/>
              </w:rPr>
              <w:t>35.50</w:t>
            </w:r>
          </w:p>
        </w:tc>
        <w:tc>
          <w:tcPr>
            <w:tcW w:w="2232" w:type="dxa"/>
            <w:vAlign w:val="center"/>
          </w:tcPr>
          <w:p w:rsidR="00A20DCD" w:rsidRDefault="005913AE">
            <w:pPr>
              <w:spacing w:after="0"/>
              <w:rPr>
                <w:rFonts w:hint="eastAsia"/>
              </w:rPr>
            </w:pPr>
            <w:r>
              <w:rPr>
                <w:sz w:val="17"/>
              </w:rPr>
              <w:t>398.55</w:t>
            </w:r>
          </w:p>
        </w:tc>
      </w:tr>
      <w:tr w:rsidR="00A20DCD">
        <w:trPr>
          <w:jc w:val="center"/>
        </w:trPr>
        <w:tc>
          <w:tcPr>
            <w:tcW w:w="2880" w:type="dxa"/>
            <w:shd w:val="clear" w:color="auto" w:fill="F0F4F8"/>
            <w:vAlign w:val="center"/>
          </w:tcPr>
          <w:p w:rsidR="00A20DCD" w:rsidRDefault="005913AE">
            <w:pPr>
              <w:spacing w:after="0"/>
              <w:rPr>
                <w:rFonts w:hint="eastAsia"/>
              </w:rPr>
            </w:pPr>
            <w:r>
              <w:rPr>
                <w:sz w:val="17"/>
              </w:rPr>
              <w:t>Median (50th percentile)</w:t>
            </w:r>
          </w:p>
        </w:tc>
        <w:tc>
          <w:tcPr>
            <w:tcW w:w="2088" w:type="dxa"/>
            <w:shd w:val="clear" w:color="auto" w:fill="F0F4F8"/>
            <w:vAlign w:val="center"/>
          </w:tcPr>
          <w:p w:rsidR="00A20DCD" w:rsidRDefault="005913AE">
            <w:pPr>
              <w:spacing w:after="0"/>
              <w:rPr>
                <w:rFonts w:hint="eastAsia"/>
              </w:rPr>
            </w:pPr>
            <w:r>
              <w:rPr>
                <w:sz w:val="17"/>
              </w:rPr>
              <w:t>29.00</w:t>
            </w:r>
          </w:p>
        </w:tc>
        <w:tc>
          <w:tcPr>
            <w:tcW w:w="2160" w:type="dxa"/>
            <w:shd w:val="clear" w:color="auto" w:fill="F0F4F8"/>
            <w:vAlign w:val="center"/>
          </w:tcPr>
          <w:p w:rsidR="00A20DCD" w:rsidRDefault="005913AE">
            <w:pPr>
              <w:spacing w:after="0"/>
              <w:rPr>
                <w:rFonts w:hint="eastAsia"/>
              </w:rPr>
            </w:pPr>
            <w:r>
              <w:rPr>
                <w:sz w:val="17"/>
              </w:rPr>
              <w:t>70.35</w:t>
            </w:r>
          </w:p>
        </w:tc>
        <w:tc>
          <w:tcPr>
            <w:tcW w:w="2232" w:type="dxa"/>
            <w:shd w:val="clear" w:color="auto" w:fill="F0F4F8"/>
            <w:vAlign w:val="center"/>
          </w:tcPr>
          <w:p w:rsidR="00A20DCD" w:rsidRDefault="005913AE">
            <w:pPr>
              <w:spacing w:after="0"/>
              <w:rPr>
                <w:rFonts w:hint="eastAsia"/>
              </w:rPr>
            </w:pPr>
            <w:r>
              <w:rPr>
                <w:sz w:val="17"/>
              </w:rPr>
              <w:t>1,394.55</w:t>
            </w:r>
          </w:p>
        </w:tc>
      </w:tr>
      <w:tr w:rsidR="00A20DCD">
        <w:trPr>
          <w:jc w:val="center"/>
        </w:trPr>
        <w:tc>
          <w:tcPr>
            <w:tcW w:w="2880" w:type="dxa"/>
            <w:vAlign w:val="center"/>
          </w:tcPr>
          <w:p w:rsidR="00A20DCD" w:rsidRDefault="005913AE">
            <w:pPr>
              <w:spacing w:after="0"/>
              <w:rPr>
                <w:rFonts w:hint="eastAsia"/>
              </w:rPr>
            </w:pPr>
            <w:r>
              <w:rPr>
                <w:sz w:val="17"/>
              </w:rPr>
              <w:t>75th percentile</w:t>
            </w:r>
          </w:p>
        </w:tc>
        <w:tc>
          <w:tcPr>
            <w:tcW w:w="2088" w:type="dxa"/>
            <w:vAlign w:val="center"/>
          </w:tcPr>
          <w:p w:rsidR="00A20DCD" w:rsidRDefault="005913AE">
            <w:pPr>
              <w:spacing w:after="0"/>
              <w:rPr>
                <w:rFonts w:hint="eastAsia"/>
              </w:rPr>
            </w:pPr>
            <w:r>
              <w:rPr>
                <w:sz w:val="17"/>
              </w:rPr>
              <w:t>55.00</w:t>
            </w:r>
          </w:p>
        </w:tc>
        <w:tc>
          <w:tcPr>
            <w:tcW w:w="2160" w:type="dxa"/>
            <w:vAlign w:val="center"/>
          </w:tcPr>
          <w:p w:rsidR="00A20DCD" w:rsidRDefault="005913AE">
            <w:pPr>
              <w:spacing w:after="0"/>
              <w:rPr>
                <w:rFonts w:hint="eastAsia"/>
              </w:rPr>
            </w:pPr>
            <w:r>
              <w:rPr>
                <w:sz w:val="17"/>
              </w:rPr>
              <w:t>89.85</w:t>
            </w:r>
          </w:p>
        </w:tc>
        <w:tc>
          <w:tcPr>
            <w:tcW w:w="2232" w:type="dxa"/>
            <w:vAlign w:val="center"/>
          </w:tcPr>
          <w:p w:rsidR="00A20DCD" w:rsidRDefault="005913AE">
            <w:pPr>
              <w:spacing w:after="0"/>
              <w:rPr>
                <w:rFonts w:hint="eastAsia"/>
              </w:rPr>
            </w:pPr>
            <w:r>
              <w:rPr>
                <w:sz w:val="17"/>
              </w:rPr>
              <w:t>3,786.60</w:t>
            </w:r>
          </w:p>
        </w:tc>
      </w:tr>
      <w:tr w:rsidR="00A20DCD">
        <w:trPr>
          <w:jc w:val="center"/>
        </w:trPr>
        <w:tc>
          <w:tcPr>
            <w:tcW w:w="2880" w:type="dxa"/>
            <w:shd w:val="clear" w:color="auto" w:fill="F0F4F8"/>
            <w:vAlign w:val="center"/>
          </w:tcPr>
          <w:p w:rsidR="00A20DCD" w:rsidRDefault="005913AE">
            <w:pPr>
              <w:spacing w:after="0"/>
              <w:rPr>
                <w:rFonts w:hint="eastAsia"/>
              </w:rPr>
            </w:pPr>
            <w:r>
              <w:rPr>
                <w:sz w:val="17"/>
              </w:rPr>
              <w:t>Maximum</w:t>
            </w:r>
          </w:p>
        </w:tc>
        <w:tc>
          <w:tcPr>
            <w:tcW w:w="2088" w:type="dxa"/>
            <w:shd w:val="clear" w:color="auto" w:fill="F0F4F8"/>
            <w:vAlign w:val="center"/>
          </w:tcPr>
          <w:p w:rsidR="00A20DCD" w:rsidRDefault="005913AE">
            <w:pPr>
              <w:spacing w:after="0"/>
              <w:rPr>
                <w:rFonts w:hint="eastAsia"/>
              </w:rPr>
            </w:pPr>
            <w:r>
              <w:rPr>
                <w:sz w:val="17"/>
              </w:rPr>
              <w:t>72.00</w:t>
            </w:r>
          </w:p>
        </w:tc>
        <w:tc>
          <w:tcPr>
            <w:tcW w:w="2160" w:type="dxa"/>
            <w:shd w:val="clear" w:color="auto" w:fill="F0F4F8"/>
            <w:vAlign w:val="center"/>
          </w:tcPr>
          <w:p w:rsidR="00A20DCD" w:rsidRDefault="005913AE">
            <w:pPr>
              <w:spacing w:after="0"/>
              <w:rPr>
                <w:rFonts w:hint="eastAsia"/>
              </w:rPr>
            </w:pPr>
            <w:r>
              <w:rPr>
                <w:sz w:val="17"/>
              </w:rPr>
              <w:t>118.75</w:t>
            </w:r>
          </w:p>
        </w:tc>
        <w:tc>
          <w:tcPr>
            <w:tcW w:w="2232" w:type="dxa"/>
            <w:shd w:val="clear" w:color="auto" w:fill="F0F4F8"/>
            <w:vAlign w:val="center"/>
          </w:tcPr>
          <w:p w:rsidR="00A20DCD" w:rsidRDefault="005913AE">
            <w:pPr>
              <w:spacing w:after="0"/>
              <w:rPr>
                <w:rFonts w:hint="eastAsia"/>
              </w:rPr>
            </w:pPr>
            <w:r>
              <w:rPr>
                <w:sz w:val="17"/>
              </w:rPr>
              <w:t>8,684.80</w:t>
            </w:r>
          </w:p>
        </w:tc>
      </w:tr>
    </w:tbl>
    <w:p w:rsidR="00A20DCD" w:rsidRDefault="00A20DCD">
      <w:pPr>
        <w:spacing w:after="20"/>
      </w:pPr>
    </w:p>
    <w:p w:rsidR="007935D5" w:rsidRDefault="007935D5">
      <w:pPr>
        <w:spacing w:after="20"/>
      </w:pPr>
    </w:p>
    <w:p w:rsidR="007935D5" w:rsidRDefault="007935D5">
      <w:pPr>
        <w:spacing w:after="20"/>
        <w:rPr>
          <w:rFonts w:hint="eastAsia"/>
        </w:rPr>
      </w:pPr>
    </w:p>
    <w:p w:rsidR="00A20DCD" w:rsidRDefault="005913AE">
      <w:pPr>
        <w:pStyle w:val="Heading2"/>
      </w:pPr>
      <w:r>
        <w:t>4.10 Visualization Stages</w:t>
      </w:r>
    </w:p>
    <w:p w:rsidR="00A20DCD" w:rsidRDefault="005913AE">
      <w:pPr>
        <w:rPr>
          <w:rFonts w:hint="eastAsia"/>
        </w:rPr>
      </w:pPr>
      <w:r>
        <w:t>The seven-stage visualization workflow described by Fry [2] was mapped to this case study as follows:</w:t>
      </w:r>
    </w:p>
    <w:tbl>
      <w:tblPr>
        <w:tblStyle w:val="TableGrid"/>
        <w:tblW w:w="0" w:type="auto"/>
        <w:jc w:val="center"/>
        <w:tblLook w:val="04A0"/>
      </w:tblPr>
      <w:tblGrid>
        <w:gridCol w:w="1800"/>
        <w:gridCol w:w="7560"/>
      </w:tblGrid>
      <w:tr w:rsidR="00A20DCD">
        <w:trPr>
          <w:jc w:val="center"/>
        </w:trPr>
        <w:tc>
          <w:tcPr>
            <w:tcW w:w="1800" w:type="dxa"/>
            <w:shd w:val="clear" w:color="auto" w:fill="17365D"/>
            <w:vAlign w:val="center"/>
          </w:tcPr>
          <w:p w:rsidR="00A20DCD" w:rsidRDefault="005913AE">
            <w:pPr>
              <w:spacing w:after="0"/>
              <w:rPr>
                <w:rFonts w:hint="eastAsia"/>
              </w:rPr>
            </w:pPr>
            <w:r>
              <w:rPr>
                <w:b/>
                <w:color w:val="FFFFFF"/>
                <w:sz w:val="17"/>
              </w:rPr>
              <w:t>Stage</w:t>
            </w:r>
          </w:p>
        </w:tc>
        <w:tc>
          <w:tcPr>
            <w:tcW w:w="7560" w:type="dxa"/>
            <w:shd w:val="clear" w:color="auto" w:fill="17365D"/>
            <w:vAlign w:val="center"/>
          </w:tcPr>
          <w:p w:rsidR="00A20DCD" w:rsidRDefault="005913AE">
            <w:pPr>
              <w:spacing w:after="0"/>
              <w:rPr>
                <w:rFonts w:hint="eastAsia"/>
              </w:rPr>
            </w:pPr>
            <w:r>
              <w:rPr>
                <w:b/>
                <w:color w:val="FFFFFF"/>
                <w:sz w:val="17"/>
              </w:rPr>
              <w:t>Application in this project</w:t>
            </w:r>
          </w:p>
        </w:tc>
      </w:tr>
      <w:tr w:rsidR="00A20DCD">
        <w:trPr>
          <w:jc w:val="center"/>
        </w:trPr>
        <w:tc>
          <w:tcPr>
            <w:tcW w:w="1800" w:type="dxa"/>
            <w:vAlign w:val="center"/>
          </w:tcPr>
          <w:p w:rsidR="00A20DCD" w:rsidRDefault="005913AE">
            <w:pPr>
              <w:spacing w:after="0"/>
              <w:rPr>
                <w:rFonts w:hint="eastAsia"/>
              </w:rPr>
            </w:pPr>
            <w:r>
              <w:rPr>
                <w:sz w:val="17"/>
              </w:rPr>
              <w:t>1. Acquire</w:t>
            </w:r>
          </w:p>
        </w:tc>
        <w:tc>
          <w:tcPr>
            <w:tcW w:w="7560" w:type="dxa"/>
            <w:vAlign w:val="center"/>
          </w:tcPr>
          <w:p w:rsidR="00A20DCD" w:rsidRDefault="005913AE">
            <w:pPr>
              <w:spacing w:after="0"/>
              <w:rPr>
                <w:rFonts w:hint="eastAsia"/>
              </w:rPr>
            </w:pPr>
            <w:r>
              <w:rPr>
                <w:sz w:val="17"/>
              </w:rPr>
              <w:t>Obtain the customer churn CSV from the documented Kaggle source.</w:t>
            </w:r>
          </w:p>
        </w:tc>
      </w:tr>
      <w:tr w:rsidR="00A20DCD">
        <w:trPr>
          <w:jc w:val="center"/>
        </w:trPr>
        <w:tc>
          <w:tcPr>
            <w:tcW w:w="1800" w:type="dxa"/>
            <w:shd w:val="clear" w:color="auto" w:fill="F0F4F8"/>
            <w:vAlign w:val="center"/>
          </w:tcPr>
          <w:p w:rsidR="00A20DCD" w:rsidRDefault="005913AE">
            <w:pPr>
              <w:spacing w:after="0"/>
              <w:rPr>
                <w:rFonts w:hint="eastAsia"/>
              </w:rPr>
            </w:pPr>
            <w:r>
              <w:rPr>
                <w:sz w:val="17"/>
              </w:rPr>
              <w:t>2. Parse</w:t>
            </w:r>
          </w:p>
        </w:tc>
        <w:tc>
          <w:tcPr>
            <w:tcW w:w="7560" w:type="dxa"/>
            <w:shd w:val="clear" w:color="auto" w:fill="F0F4F8"/>
            <w:vAlign w:val="center"/>
          </w:tcPr>
          <w:p w:rsidR="00A20DCD" w:rsidRDefault="005913AE">
            <w:pPr>
              <w:spacing w:after="0"/>
              <w:rPr>
                <w:rFonts w:hint="eastAsia"/>
              </w:rPr>
            </w:pPr>
            <w:r>
              <w:rPr>
                <w:sz w:val="17"/>
              </w:rPr>
              <w:t xml:space="preserve">Load </w:t>
            </w:r>
            <w:r>
              <w:rPr>
                <w:sz w:val="17"/>
              </w:rPr>
              <w:t>the CSV with Pandas and inspect rows, columns and data types.</w:t>
            </w:r>
          </w:p>
        </w:tc>
      </w:tr>
      <w:tr w:rsidR="00A20DCD">
        <w:trPr>
          <w:jc w:val="center"/>
        </w:trPr>
        <w:tc>
          <w:tcPr>
            <w:tcW w:w="1800" w:type="dxa"/>
            <w:vAlign w:val="center"/>
          </w:tcPr>
          <w:p w:rsidR="00A20DCD" w:rsidRDefault="005913AE">
            <w:pPr>
              <w:spacing w:after="0"/>
              <w:rPr>
                <w:rFonts w:hint="eastAsia"/>
              </w:rPr>
            </w:pPr>
            <w:r>
              <w:rPr>
                <w:sz w:val="17"/>
              </w:rPr>
              <w:t>3. Filter</w:t>
            </w:r>
          </w:p>
        </w:tc>
        <w:tc>
          <w:tcPr>
            <w:tcW w:w="7560" w:type="dxa"/>
            <w:vAlign w:val="center"/>
          </w:tcPr>
          <w:p w:rsidR="00A20DCD" w:rsidRDefault="005913AE">
            <w:pPr>
              <w:spacing w:after="0"/>
              <w:rPr>
                <w:rFonts w:hint="eastAsia"/>
              </w:rPr>
            </w:pPr>
            <w:r>
              <w:rPr>
                <w:sz w:val="17"/>
              </w:rPr>
              <w:t>Inspect and clean blanks, duplicate rows, data types and invalid values.</w:t>
            </w:r>
          </w:p>
        </w:tc>
      </w:tr>
      <w:tr w:rsidR="00A20DCD">
        <w:trPr>
          <w:jc w:val="center"/>
        </w:trPr>
        <w:tc>
          <w:tcPr>
            <w:tcW w:w="1800" w:type="dxa"/>
            <w:shd w:val="clear" w:color="auto" w:fill="F0F4F8"/>
            <w:vAlign w:val="center"/>
          </w:tcPr>
          <w:p w:rsidR="00A20DCD" w:rsidRDefault="005913AE">
            <w:pPr>
              <w:spacing w:after="0"/>
              <w:rPr>
                <w:rFonts w:hint="eastAsia"/>
              </w:rPr>
            </w:pPr>
            <w:r>
              <w:rPr>
                <w:sz w:val="17"/>
              </w:rPr>
              <w:t>4. Mine</w:t>
            </w:r>
          </w:p>
        </w:tc>
        <w:tc>
          <w:tcPr>
            <w:tcW w:w="7560" w:type="dxa"/>
            <w:shd w:val="clear" w:color="auto" w:fill="F0F4F8"/>
            <w:vAlign w:val="center"/>
          </w:tcPr>
          <w:p w:rsidR="00A20DCD" w:rsidRDefault="005913AE">
            <w:pPr>
              <w:spacing w:after="0"/>
              <w:rPr>
                <w:rFonts w:hint="eastAsia"/>
              </w:rPr>
            </w:pPr>
            <w:r>
              <w:rPr>
                <w:sz w:val="17"/>
              </w:rPr>
              <w:t>Calculate descriptive statistics, churn rates, group comparisons and correlations.</w:t>
            </w:r>
          </w:p>
        </w:tc>
      </w:tr>
      <w:tr w:rsidR="00A20DCD">
        <w:trPr>
          <w:jc w:val="center"/>
        </w:trPr>
        <w:tc>
          <w:tcPr>
            <w:tcW w:w="1800" w:type="dxa"/>
            <w:vAlign w:val="center"/>
          </w:tcPr>
          <w:p w:rsidR="00A20DCD" w:rsidRDefault="005913AE">
            <w:pPr>
              <w:spacing w:after="0"/>
              <w:rPr>
                <w:rFonts w:hint="eastAsia"/>
              </w:rPr>
            </w:pPr>
            <w:r>
              <w:rPr>
                <w:sz w:val="17"/>
              </w:rPr>
              <w:t>5. Represent</w:t>
            </w:r>
          </w:p>
        </w:tc>
        <w:tc>
          <w:tcPr>
            <w:tcW w:w="7560" w:type="dxa"/>
            <w:vAlign w:val="center"/>
          </w:tcPr>
          <w:p w:rsidR="00A20DCD" w:rsidRDefault="005913AE">
            <w:pPr>
              <w:spacing w:after="0"/>
              <w:rPr>
                <w:rFonts w:hint="eastAsia"/>
              </w:rPr>
            </w:pPr>
            <w:r>
              <w:rPr>
                <w:sz w:val="17"/>
              </w:rPr>
              <w:t>Sele</w:t>
            </w:r>
            <w:r>
              <w:rPr>
                <w:sz w:val="17"/>
              </w:rPr>
              <w:t>ct bar charts, histograms, boxplots, a heatmap and scatterplots.</w:t>
            </w:r>
          </w:p>
        </w:tc>
      </w:tr>
      <w:tr w:rsidR="00A20DCD">
        <w:trPr>
          <w:jc w:val="center"/>
        </w:trPr>
        <w:tc>
          <w:tcPr>
            <w:tcW w:w="1800" w:type="dxa"/>
            <w:shd w:val="clear" w:color="auto" w:fill="F0F4F8"/>
            <w:vAlign w:val="center"/>
          </w:tcPr>
          <w:p w:rsidR="00A20DCD" w:rsidRDefault="005913AE">
            <w:pPr>
              <w:spacing w:after="0"/>
              <w:rPr>
                <w:rFonts w:hint="eastAsia"/>
              </w:rPr>
            </w:pPr>
            <w:r>
              <w:rPr>
                <w:sz w:val="17"/>
              </w:rPr>
              <w:t>6. Refine</w:t>
            </w:r>
          </w:p>
        </w:tc>
        <w:tc>
          <w:tcPr>
            <w:tcW w:w="7560" w:type="dxa"/>
            <w:shd w:val="clear" w:color="auto" w:fill="F0F4F8"/>
            <w:vAlign w:val="center"/>
          </w:tcPr>
          <w:p w:rsidR="00A20DCD" w:rsidRDefault="005913AE">
            <w:pPr>
              <w:spacing w:after="0"/>
              <w:rPr>
                <w:rFonts w:hint="eastAsia"/>
              </w:rPr>
            </w:pPr>
            <w:r>
              <w:rPr>
                <w:sz w:val="17"/>
              </w:rPr>
              <w:t>Add clear titles, axes, labels, legends and appropriate scales.</w:t>
            </w:r>
          </w:p>
        </w:tc>
      </w:tr>
      <w:tr w:rsidR="00A20DCD">
        <w:trPr>
          <w:jc w:val="center"/>
        </w:trPr>
        <w:tc>
          <w:tcPr>
            <w:tcW w:w="1800" w:type="dxa"/>
            <w:vAlign w:val="center"/>
          </w:tcPr>
          <w:p w:rsidR="00A20DCD" w:rsidRDefault="005913AE">
            <w:pPr>
              <w:spacing w:after="0"/>
              <w:rPr>
                <w:rFonts w:hint="eastAsia"/>
              </w:rPr>
            </w:pPr>
            <w:r>
              <w:rPr>
                <w:sz w:val="17"/>
              </w:rPr>
              <w:t>7. Interact</w:t>
            </w:r>
          </w:p>
        </w:tc>
        <w:tc>
          <w:tcPr>
            <w:tcW w:w="7560" w:type="dxa"/>
            <w:vAlign w:val="center"/>
          </w:tcPr>
          <w:p w:rsidR="00A20DCD" w:rsidRDefault="005913AE">
            <w:pPr>
              <w:spacing w:after="0"/>
              <w:rPr>
                <w:rFonts w:hint="eastAsia"/>
              </w:rPr>
            </w:pPr>
            <w:r>
              <w:rPr>
                <w:sz w:val="17"/>
              </w:rPr>
              <w:t>Use an interactive Plotly scatterplot with hover details for customer features.</w:t>
            </w:r>
          </w:p>
        </w:tc>
      </w:tr>
    </w:tbl>
    <w:p w:rsidR="00A20DCD" w:rsidRDefault="00A20DCD">
      <w:pPr>
        <w:spacing w:after="20"/>
        <w:rPr>
          <w:rFonts w:hint="eastAsia"/>
        </w:rPr>
      </w:pPr>
    </w:p>
    <w:p w:rsidR="00A20DCD" w:rsidRDefault="005913AE">
      <w:pPr>
        <w:pStyle w:val="Heading1"/>
      </w:pPr>
      <w:r>
        <w:t xml:space="preserve">5. Deep Learning </w:t>
      </w:r>
      <w:r>
        <w:t>Model Development</w:t>
      </w:r>
    </w:p>
    <w:p w:rsidR="00A20DCD" w:rsidRDefault="005913AE">
      <w:pPr>
        <w:pStyle w:val="Heading2"/>
      </w:pPr>
      <w:r>
        <w:t>5.1 Task and Model Choice</w:t>
      </w:r>
    </w:p>
    <w:p w:rsidR="00A20DCD" w:rsidRDefault="005913AE">
      <w:pPr>
        <w:rPr>
          <w:rFonts w:hint="eastAsia"/>
        </w:rPr>
      </w:pPr>
      <w:r>
        <w:t>The task is binary classification: predict Churn = Yes or No. A Multilayer Perceptron (MLP) was selected because the dataset is structured tabular data. The model consists of fully connected layers with ReLU acti</w:t>
      </w:r>
      <w:r>
        <w:t>vations, dropout for regularization, and a one-neuron sigmoid output that estimates the probability of churn. The Sequential API supports stacking layers in a linear sequence [3].</w:t>
      </w:r>
    </w:p>
    <w:p w:rsidR="00A20DCD" w:rsidRDefault="005913AE">
      <w:pPr>
        <w:pStyle w:val="Heading2"/>
      </w:pPr>
      <w:r>
        <w:t>5.2 Model Configurations</w:t>
      </w:r>
    </w:p>
    <w:tbl>
      <w:tblPr>
        <w:tblStyle w:val="TableGrid"/>
        <w:tblW w:w="0" w:type="auto"/>
        <w:jc w:val="center"/>
        <w:tblLook w:val="04A0"/>
      </w:tblPr>
      <w:tblGrid>
        <w:gridCol w:w="2376"/>
        <w:gridCol w:w="3384"/>
        <w:gridCol w:w="3600"/>
      </w:tblGrid>
      <w:tr w:rsidR="00A20DCD">
        <w:trPr>
          <w:jc w:val="center"/>
        </w:trPr>
        <w:tc>
          <w:tcPr>
            <w:tcW w:w="2376" w:type="dxa"/>
            <w:shd w:val="clear" w:color="auto" w:fill="17365D"/>
            <w:vAlign w:val="center"/>
          </w:tcPr>
          <w:p w:rsidR="00A20DCD" w:rsidRDefault="005913AE">
            <w:pPr>
              <w:spacing w:after="0"/>
              <w:rPr>
                <w:rFonts w:hint="eastAsia"/>
              </w:rPr>
            </w:pPr>
            <w:r>
              <w:rPr>
                <w:b/>
                <w:color w:val="FFFFFF"/>
                <w:sz w:val="17"/>
              </w:rPr>
              <w:t>Parameter</w:t>
            </w:r>
          </w:p>
        </w:tc>
        <w:tc>
          <w:tcPr>
            <w:tcW w:w="3384" w:type="dxa"/>
            <w:shd w:val="clear" w:color="auto" w:fill="17365D"/>
            <w:vAlign w:val="center"/>
          </w:tcPr>
          <w:p w:rsidR="00A20DCD" w:rsidRDefault="005913AE">
            <w:pPr>
              <w:spacing w:after="0"/>
              <w:rPr>
                <w:rFonts w:hint="eastAsia"/>
              </w:rPr>
            </w:pPr>
            <w:r>
              <w:rPr>
                <w:b/>
                <w:color w:val="FFFFFF"/>
                <w:sz w:val="17"/>
              </w:rPr>
              <w:t>Model A</w:t>
            </w:r>
          </w:p>
        </w:tc>
        <w:tc>
          <w:tcPr>
            <w:tcW w:w="3600" w:type="dxa"/>
            <w:shd w:val="clear" w:color="auto" w:fill="17365D"/>
            <w:vAlign w:val="center"/>
          </w:tcPr>
          <w:p w:rsidR="00A20DCD" w:rsidRDefault="005913AE">
            <w:pPr>
              <w:spacing w:after="0"/>
              <w:rPr>
                <w:rFonts w:hint="eastAsia"/>
              </w:rPr>
            </w:pPr>
            <w:r>
              <w:rPr>
                <w:b/>
                <w:color w:val="FFFFFF"/>
                <w:sz w:val="17"/>
              </w:rPr>
              <w:t>Model B (selected)</w:t>
            </w:r>
          </w:p>
        </w:tc>
      </w:tr>
      <w:tr w:rsidR="00A20DCD">
        <w:trPr>
          <w:jc w:val="center"/>
        </w:trPr>
        <w:tc>
          <w:tcPr>
            <w:tcW w:w="2376" w:type="dxa"/>
            <w:vAlign w:val="center"/>
          </w:tcPr>
          <w:p w:rsidR="00A20DCD" w:rsidRDefault="005913AE">
            <w:pPr>
              <w:spacing w:after="0"/>
              <w:rPr>
                <w:rFonts w:hint="eastAsia"/>
              </w:rPr>
            </w:pPr>
            <w:r>
              <w:rPr>
                <w:sz w:val="17"/>
              </w:rPr>
              <w:t>Hidden layers</w:t>
            </w:r>
          </w:p>
        </w:tc>
        <w:tc>
          <w:tcPr>
            <w:tcW w:w="3384" w:type="dxa"/>
            <w:vAlign w:val="center"/>
          </w:tcPr>
          <w:p w:rsidR="00A20DCD" w:rsidRDefault="005913AE">
            <w:pPr>
              <w:spacing w:after="0"/>
              <w:rPr>
                <w:rFonts w:hint="eastAsia"/>
              </w:rPr>
            </w:pPr>
            <w:r>
              <w:rPr>
                <w:sz w:val="17"/>
              </w:rPr>
              <w:t>64, 32 neurons</w:t>
            </w:r>
          </w:p>
        </w:tc>
        <w:tc>
          <w:tcPr>
            <w:tcW w:w="3600" w:type="dxa"/>
            <w:vAlign w:val="center"/>
          </w:tcPr>
          <w:p w:rsidR="00A20DCD" w:rsidRDefault="005913AE">
            <w:pPr>
              <w:spacing w:after="0"/>
              <w:rPr>
                <w:rFonts w:hint="eastAsia"/>
              </w:rPr>
            </w:pPr>
            <w:r>
              <w:rPr>
                <w:sz w:val="17"/>
              </w:rPr>
              <w:t>32, 16 neurons</w:t>
            </w:r>
          </w:p>
        </w:tc>
      </w:tr>
      <w:tr w:rsidR="00A20DCD">
        <w:trPr>
          <w:jc w:val="center"/>
        </w:trPr>
        <w:tc>
          <w:tcPr>
            <w:tcW w:w="2376" w:type="dxa"/>
            <w:shd w:val="clear" w:color="auto" w:fill="F0F4F8"/>
            <w:vAlign w:val="center"/>
          </w:tcPr>
          <w:p w:rsidR="00A20DCD" w:rsidRDefault="005913AE">
            <w:pPr>
              <w:spacing w:after="0"/>
              <w:rPr>
                <w:rFonts w:hint="eastAsia"/>
              </w:rPr>
            </w:pPr>
            <w:r>
              <w:rPr>
                <w:sz w:val="17"/>
              </w:rPr>
              <w:t>Activation</w:t>
            </w:r>
          </w:p>
        </w:tc>
        <w:tc>
          <w:tcPr>
            <w:tcW w:w="3384" w:type="dxa"/>
            <w:shd w:val="clear" w:color="auto" w:fill="F0F4F8"/>
            <w:vAlign w:val="center"/>
          </w:tcPr>
          <w:p w:rsidR="00A20DCD" w:rsidRDefault="005913AE">
            <w:pPr>
              <w:spacing w:after="0"/>
              <w:rPr>
                <w:rFonts w:hint="eastAsia"/>
              </w:rPr>
            </w:pPr>
            <w:r>
              <w:rPr>
                <w:sz w:val="17"/>
              </w:rPr>
              <w:t>ReLU</w:t>
            </w:r>
          </w:p>
        </w:tc>
        <w:tc>
          <w:tcPr>
            <w:tcW w:w="3600" w:type="dxa"/>
            <w:shd w:val="clear" w:color="auto" w:fill="F0F4F8"/>
            <w:vAlign w:val="center"/>
          </w:tcPr>
          <w:p w:rsidR="00A20DCD" w:rsidRDefault="005913AE">
            <w:pPr>
              <w:spacing w:after="0"/>
              <w:rPr>
                <w:rFonts w:hint="eastAsia"/>
              </w:rPr>
            </w:pPr>
            <w:r>
              <w:rPr>
                <w:sz w:val="17"/>
              </w:rPr>
              <w:t>ReLU</w:t>
            </w:r>
          </w:p>
        </w:tc>
      </w:tr>
      <w:tr w:rsidR="00A20DCD">
        <w:trPr>
          <w:jc w:val="center"/>
        </w:trPr>
        <w:tc>
          <w:tcPr>
            <w:tcW w:w="2376" w:type="dxa"/>
            <w:vAlign w:val="center"/>
          </w:tcPr>
          <w:p w:rsidR="00A20DCD" w:rsidRDefault="005913AE">
            <w:pPr>
              <w:spacing w:after="0"/>
              <w:rPr>
                <w:rFonts w:hint="eastAsia"/>
              </w:rPr>
            </w:pPr>
            <w:r>
              <w:rPr>
                <w:sz w:val="17"/>
              </w:rPr>
              <w:t>Dropout rate</w:t>
            </w:r>
          </w:p>
        </w:tc>
        <w:tc>
          <w:tcPr>
            <w:tcW w:w="3384" w:type="dxa"/>
            <w:vAlign w:val="center"/>
          </w:tcPr>
          <w:p w:rsidR="00A20DCD" w:rsidRDefault="005913AE">
            <w:pPr>
              <w:spacing w:after="0"/>
              <w:rPr>
                <w:rFonts w:hint="eastAsia"/>
              </w:rPr>
            </w:pPr>
            <w:r>
              <w:rPr>
                <w:sz w:val="17"/>
              </w:rPr>
              <w:t>0.20</w:t>
            </w:r>
          </w:p>
        </w:tc>
        <w:tc>
          <w:tcPr>
            <w:tcW w:w="3600" w:type="dxa"/>
            <w:vAlign w:val="center"/>
          </w:tcPr>
          <w:p w:rsidR="00A20DCD" w:rsidRDefault="005913AE">
            <w:pPr>
              <w:spacing w:after="0"/>
              <w:rPr>
                <w:rFonts w:hint="eastAsia"/>
              </w:rPr>
            </w:pPr>
            <w:r>
              <w:rPr>
                <w:sz w:val="17"/>
              </w:rPr>
              <w:t>0.30</w:t>
            </w:r>
          </w:p>
        </w:tc>
      </w:tr>
      <w:tr w:rsidR="00A20DCD">
        <w:trPr>
          <w:jc w:val="center"/>
        </w:trPr>
        <w:tc>
          <w:tcPr>
            <w:tcW w:w="2376" w:type="dxa"/>
            <w:shd w:val="clear" w:color="auto" w:fill="F0F4F8"/>
            <w:vAlign w:val="center"/>
          </w:tcPr>
          <w:p w:rsidR="00A20DCD" w:rsidRDefault="005913AE">
            <w:pPr>
              <w:spacing w:after="0"/>
              <w:rPr>
                <w:rFonts w:hint="eastAsia"/>
              </w:rPr>
            </w:pPr>
            <w:r>
              <w:rPr>
                <w:sz w:val="17"/>
              </w:rPr>
              <w:t>Optimizer</w:t>
            </w:r>
          </w:p>
        </w:tc>
        <w:tc>
          <w:tcPr>
            <w:tcW w:w="3384" w:type="dxa"/>
            <w:shd w:val="clear" w:color="auto" w:fill="F0F4F8"/>
            <w:vAlign w:val="center"/>
          </w:tcPr>
          <w:p w:rsidR="00A20DCD" w:rsidRDefault="005913AE">
            <w:pPr>
              <w:spacing w:after="0"/>
              <w:rPr>
                <w:rFonts w:hint="eastAsia"/>
              </w:rPr>
            </w:pPr>
            <w:r>
              <w:rPr>
                <w:sz w:val="17"/>
              </w:rPr>
              <w:t>Adam</w:t>
            </w:r>
          </w:p>
        </w:tc>
        <w:tc>
          <w:tcPr>
            <w:tcW w:w="3600" w:type="dxa"/>
            <w:shd w:val="clear" w:color="auto" w:fill="F0F4F8"/>
            <w:vAlign w:val="center"/>
          </w:tcPr>
          <w:p w:rsidR="00A20DCD" w:rsidRDefault="005913AE">
            <w:pPr>
              <w:spacing w:after="0"/>
              <w:rPr>
                <w:rFonts w:hint="eastAsia"/>
              </w:rPr>
            </w:pPr>
            <w:r>
              <w:rPr>
                <w:sz w:val="17"/>
              </w:rPr>
              <w:t>Adam</w:t>
            </w:r>
          </w:p>
        </w:tc>
      </w:tr>
      <w:tr w:rsidR="00A20DCD">
        <w:trPr>
          <w:jc w:val="center"/>
        </w:trPr>
        <w:tc>
          <w:tcPr>
            <w:tcW w:w="2376" w:type="dxa"/>
            <w:vAlign w:val="center"/>
          </w:tcPr>
          <w:p w:rsidR="00A20DCD" w:rsidRDefault="005913AE">
            <w:pPr>
              <w:spacing w:after="0"/>
              <w:rPr>
                <w:rFonts w:hint="eastAsia"/>
              </w:rPr>
            </w:pPr>
            <w:r>
              <w:rPr>
                <w:sz w:val="17"/>
              </w:rPr>
              <w:t>Learning rate</w:t>
            </w:r>
          </w:p>
        </w:tc>
        <w:tc>
          <w:tcPr>
            <w:tcW w:w="3384" w:type="dxa"/>
            <w:vAlign w:val="center"/>
          </w:tcPr>
          <w:p w:rsidR="00A20DCD" w:rsidRDefault="005913AE">
            <w:pPr>
              <w:spacing w:after="0"/>
              <w:rPr>
                <w:rFonts w:hint="eastAsia"/>
              </w:rPr>
            </w:pPr>
            <w:r>
              <w:rPr>
                <w:sz w:val="17"/>
              </w:rPr>
              <w:t>0.001</w:t>
            </w:r>
          </w:p>
        </w:tc>
        <w:tc>
          <w:tcPr>
            <w:tcW w:w="3600" w:type="dxa"/>
            <w:vAlign w:val="center"/>
          </w:tcPr>
          <w:p w:rsidR="00A20DCD" w:rsidRDefault="005913AE">
            <w:pPr>
              <w:spacing w:after="0"/>
              <w:rPr>
                <w:rFonts w:hint="eastAsia"/>
              </w:rPr>
            </w:pPr>
            <w:r>
              <w:rPr>
                <w:sz w:val="17"/>
              </w:rPr>
              <w:t>0.0005</w:t>
            </w:r>
          </w:p>
        </w:tc>
      </w:tr>
      <w:tr w:rsidR="00A20DCD">
        <w:trPr>
          <w:jc w:val="center"/>
        </w:trPr>
        <w:tc>
          <w:tcPr>
            <w:tcW w:w="2376" w:type="dxa"/>
            <w:shd w:val="clear" w:color="auto" w:fill="F0F4F8"/>
            <w:vAlign w:val="center"/>
          </w:tcPr>
          <w:p w:rsidR="00A20DCD" w:rsidRDefault="005913AE">
            <w:pPr>
              <w:spacing w:after="0"/>
              <w:rPr>
                <w:rFonts w:hint="eastAsia"/>
              </w:rPr>
            </w:pPr>
            <w:r>
              <w:rPr>
                <w:sz w:val="17"/>
              </w:rPr>
              <w:t>Loss function</w:t>
            </w:r>
          </w:p>
        </w:tc>
        <w:tc>
          <w:tcPr>
            <w:tcW w:w="3384" w:type="dxa"/>
            <w:shd w:val="clear" w:color="auto" w:fill="F0F4F8"/>
            <w:vAlign w:val="center"/>
          </w:tcPr>
          <w:p w:rsidR="00A20DCD" w:rsidRDefault="005913AE">
            <w:pPr>
              <w:spacing w:after="0"/>
              <w:rPr>
                <w:rFonts w:hint="eastAsia"/>
              </w:rPr>
            </w:pPr>
            <w:r>
              <w:rPr>
                <w:sz w:val="17"/>
              </w:rPr>
              <w:t>Binary cross-entropy</w:t>
            </w:r>
          </w:p>
        </w:tc>
        <w:tc>
          <w:tcPr>
            <w:tcW w:w="3600" w:type="dxa"/>
            <w:shd w:val="clear" w:color="auto" w:fill="F0F4F8"/>
            <w:vAlign w:val="center"/>
          </w:tcPr>
          <w:p w:rsidR="00A20DCD" w:rsidRDefault="005913AE">
            <w:pPr>
              <w:spacing w:after="0"/>
              <w:rPr>
                <w:rFonts w:hint="eastAsia"/>
              </w:rPr>
            </w:pPr>
            <w:r>
              <w:rPr>
                <w:sz w:val="17"/>
              </w:rPr>
              <w:t>Binary cross-entropy</w:t>
            </w:r>
          </w:p>
        </w:tc>
      </w:tr>
      <w:tr w:rsidR="00A20DCD">
        <w:trPr>
          <w:jc w:val="center"/>
        </w:trPr>
        <w:tc>
          <w:tcPr>
            <w:tcW w:w="2376" w:type="dxa"/>
            <w:vAlign w:val="center"/>
          </w:tcPr>
          <w:p w:rsidR="00A20DCD" w:rsidRDefault="005913AE">
            <w:pPr>
              <w:spacing w:after="0"/>
              <w:rPr>
                <w:rFonts w:hint="eastAsia"/>
              </w:rPr>
            </w:pPr>
            <w:r>
              <w:rPr>
                <w:sz w:val="17"/>
              </w:rPr>
              <w:t>Batch size</w:t>
            </w:r>
          </w:p>
        </w:tc>
        <w:tc>
          <w:tcPr>
            <w:tcW w:w="3384" w:type="dxa"/>
            <w:vAlign w:val="center"/>
          </w:tcPr>
          <w:p w:rsidR="00A20DCD" w:rsidRDefault="005913AE">
            <w:pPr>
              <w:spacing w:after="0"/>
              <w:rPr>
                <w:rFonts w:hint="eastAsia"/>
              </w:rPr>
            </w:pPr>
            <w:r>
              <w:rPr>
                <w:sz w:val="17"/>
              </w:rPr>
              <w:t>32</w:t>
            </w:r>
          </w:p>
        </w:tc>
        <w:tc>
          <w:tcPr>
            <w:tcW w:w="3600" w:type="dxa"/>
            <w:vAlign w:val="center"/>
          </w:tcPr>
          <w:p w:rsidR="00A20DCD" w:rsidRDefault="005913AE">
            <w:pPr>
              <w:spacing w:after="0"/>
              <w:rPr>
                <w:rFonts w:hint="eastAsia"/>
              </w:rPr>
            </w:pPr>
            <w:r>
              <w:rPr>
                <w:sz w:val="17"/>
              </w:rPr>
              <w:t>32</w:t>
            </w:r>
          </w:p>
        </w:tc>
      </w:tr>
      <w:tr w:rsidR="00A20DCD">
        <w:trPr>
          <w:jc w:val="center"/>
        </w:trPr>
        <w:tc>
          <w:tcPr>
            <w:tcW w:w="2376" w:type="dxa"/>
            <w:shd w:val="clear" w:color="auto" w:fill="F0F4F8"/>
            <w:vAlign w:val="center"/>
          </w:tcPr>
          <w:p w:rsidR="00A20DCD" w:rsidRDefault="005913AE">
            <w:pPr>
              <w:spacing w:after="0"/>
              <w:rPr>
                <w:rFonts w:hint="eastAsia"/>
              </w:rPr>
            </w:pPr>
            <w:r>
              <w:rPr>
                <w:sz w:val="17"/>
              </w:rPr>
              <w:t>Maximum epochs</w:t>
            </w:r>
          </w:p>
        </w:tc>
        <w:tc>
          <w:tcPr>
            <w:tcW w:w="3384" w:type="dxa"/>
            <w:shd w:val="clear" w:color="auto" w:fill="F0F4F8"/>
            <w:vAlign w:val="center"/>
          </w:tcPr>
          <w:p w:rsidR="00A20DCD" w:rsidRDefault="005913AE">
            <w:pPr>
              <w:spacing w:after="0"/>
              <w:rPr>
                <w:rFonts w:hint="eastAsia"/>
              </w:rPr>
            </w:pPr>
            <w:r>
              <w:rPr>
                <w:sz w:val="17"/>
              </w:rPr>
              <w:t>50</w:t>
            </w:r>
          </w:p>
        </w:tc>
        <w:tc>
          <w:tcPr>
            <w:tcW w:w="3600" w:type="dxa"/>
            <w:shd w:val="clear" w:color="auto" w:fill="F0F4F8"/>
            <w:vAlign w:val="center"/>
          </w:tcPr>
          <w:p w:rsidR="00A20DCD" w:rsidRDefault="005913AE">
            <w:pPr>
              <w:spacing w:after="0"/>
              <w:rPr>
                <w:rFonts w:hint="eastAsia"/>
              </w:rPr>
            </w:pPr>
            <w:r>
              <w:rPr>
                <w:sz w:val="17"/>
              </w:rPr>
              <w:t>50</w:t>
            </w:r>
          </w:p>
        </w:tc>
      </w:tr>
      <w:tr w:rsidR="00A20DCD">
        <w:trPr>
          <w:jc w:val="center"/>
        </w:trPr>
        <w:tc>
          <w:tcPr>
            <w:tcW w:w="2376" w:type="dxa"/>
            <w:vAlign w:val="center"/>
          </w:tcPr>
          <w:p w:rsidR="00A20DCD" w:rsidRDefault="005913AE">
            <w:pPr>
              <w:spacing w:after="0"/>
              <w:rPr>
                <w:rFonts w:hint="eastAsia"/>
              </w:rPr>
            </w:pPr>
            <w:r>
              <w:rPr>
                <w:sz w:val="17"/>
              </w:rPr>
              <w:t>Early stopping</w:t>
            </w:r>
          </w:p>
        </w:tc>
        <w:tc>
          <w:tcPr>
            <w:tcW w:w="3384" w:type="dxa"/>
            <w:vAlign w:val="center"/>
          </w:tcPr>
          <w:p w:rsidR="00A20DCD" w:rsidRDefault="005913AE">
            <w:pPr>
              <w:spacing w:after="0"/>
              <w:rPr>
                <w:rFonts w:hint="eastAsia"/>
              </w:rPr>
            </w:pPr>
            <w:r>
              <w:rPr>
                <w:sz w:val="17"/>
              </w:rPr>
              <w:t xml:space="preserve">Patience = 5 on </w:t>
            </w:r>
            <w:r>
              <w:rPr>
                <w:sz w:val="17"/>
              </w:rPr>
              <w:t>validation loss</w:t>
            </w:r>
          </w:p>
        </w:tc>
        <w:tc>
          <w:tcPr>
            <w:tcW w:w="3600" w:type="dxa"/>
            <w:vAlign w:val="center"/>
          </w:tcPr>
          <w:p w:rsidR="00A20DCD" w:rsidRDefault="005913AE">
            <w:pPr>
              <w:spacing w:after="0"/>
              <w:rPr>
                <w:rFonts w:hint="eastAsia"/>
              </w:rPr>
            </w:pPr>
            <w:r>
              <w:rPr>
                <w:sz w:val="17"/>
              </w:rPr>
              <w:t>Patience = 5 on validation loss</w:t>
            </w:r>
          </w:p>
        </w:tc>
      </w:tr>
    </w:tbl>
    <w:p w:rsidR="00A20DCD" w:rsidRDefault="00A20DCD">
      <w:pPr>
        <w:spacing w:after="20"/>
        <w:rPr>
          <w:rFonts w:hint="eastAsia"/>
        </w:rPr>
      </w:pPr>
    </w:p>
    <w:p w:rsidR="00A20DCD" w:rsidRDefault="005913AE">
      <w:pPr>
        <w:pStyle w:val="Heading2"/>
      </w:pPr>
      <w:r>
        <w:t>5.3 Hyperparameter Comparison</w:t>
      </w:r>
    </w:p>
    <w:tbl>
      <w:tblPr>
        <w:tblStyle w:val="TableGrid"/>
        <w:tblW w:w="0" w:type="auto"/>
        <w:jc w:val="center"/>
        <w:tblLook w:val="04A0"/>
      </w:tblPr>
      <w:tblGrid>
        <w:gridCol w:w="1872"/>
        <w:gridCol w:w="2592"/>
        <w:gridCol w:w="2304"/>
        <w:gridCol w:w="2592"/>
      </w:tblGrid>
      <w:tr w:rsidR="00A20DCD">
        <w:trPr>
          <w:jc w:val="center"/>
        </w:trPr>
        <w:tc>
          <w:tcPr>
            <w:tcW w:w="1872" w:type="dxa"/>
            <w:shd w:val="clear" w:color="auto" w:fill="17365D"/>
            <w:vAlign w:val="center"/>
          </w:tcPr>
          <w:p w:rsidR="00A20DCD" w:rsidRDefault="005913AE">
            <w:pPr>
              <w:spacing w:after="0"/>
              <w:rPr>
                <w:rFonts w:hint="eastAsia"/>
              </w:rPr>
            </w:pPr>
            <w:r>
              <w:rPr>
                <w:b/>
                <w:color w:val="FFFFFF"/>
                <w:sz w:val="17"/>
              </w:rPr>
              <w:t>Model</w:t>
            </w:r>
          </w:p>
        </w:tc>
        <w:tc>
          <w:tcPr>
            <w:tcW w:w="2592" w:type="dxa"/>
            <w:shd w:val="clear" w:color="auto" w:fill="17365D"/>
            <w:vAlign w:val="center"/>
          </w:tcPr>
          <w:p w:rsidR="00A20DCD" w:rsidRDefault="005913AE">
            <w:pPr>
              <w:spacing w:after="0"/>
              <w:rPr>
                <w:rFonts w:hint="eastAsia"/>
              </w:rPr>
            </w:pPr>
            <w:r>
              <w:rPr>
                <w:b/>
                <w:color w:val="FFFFFF"/>
                <w:sz w:val="17"/>
              </w:rPr>
              <w:t>Best epoch by validation loss</w:t>
            </w:r>
          </w:p>
        </w:tc>
        <w:tc>
          <w:tcPr>
            <w:tcW w:w="2304" w:type="dxa"/>
            <w:shd w:val="clear" w:color="auto" w:fill="17365D"/>
            <w:vAlign w:val="center"/>
          </w:tcPr>
          <w:p w:rsidR="00A20DCD" w:rsidRDefault="005913AE">
            <w:pPr>
              <w:spacing w:after="0"/>
              <w:rPr>
                <w:rFonts w:hint="eastAsia"/>
              </w:rPr>
            </w:pPr>
            <w:r>
              <w:rPr>
                <w:b/>
                <w:color w:val="FFFFFF"/>
                <w:sz w:val="17"/>
              </w:rPr>
              <w:t>Best validation loss</w:t>
            </w:r>
          </w:p>
        </w:tc>
        <w:tc>
          <w:tcPr>
            <w:tcW w:w="2592" w:type="dxa"/>
            <w:shd w:val="clear" w:color="auto" w:fill="17365D"/>
            <w:vAlign w:val="center"/>
          </w:tcPr>
          <w:p w:rsidR="00A20DCD" w:rsidRDefault="005913AE">
            <w:pPr>
              <w:spacing w:after="0"/>
              <w:rPr>
                <w:rFonts w:hint="eastAsia"/>
              </w:rPr>
            </w:pPr>
            <w:r>
              <w:rPr>
                <w:b/>
                <w:color w:val="FFFFFF"/>
                <w:sz w:val="17"/>
              </w:rPr>
              <w:t>Validation AUC at that epoch</w:t>
            </w:r>
          </w:p>
        </w:tc>
      </w:tr>
      <w:tr w:rsidR="00A20DCD">
        <w:trPr>
          <w:jc w:val="center"/>
        </w:trPr>
        <w:tc>
          <w:tcPr>
            <w:tcW w:w="1872" w:type="dxa"/>
            <w:vAlign w:val="center"/>
          </w:tcPr>
          <w:p w:rsidR="00A20DCD" w:rsidRDefault="005913AE">
            <w:pPr>
              <w:spacing w:after="0"/>
              <w:rPr>
                <w:rFonts w:hint="eastAsia"/>
              </w:rPr>
            </w:pPr>
            <w:r>
              <w:rPr>
                <w:sz w:val="17"/>
              </w:rPr>
              <w:t>Model A</w:t>
            </w:r>
          </w:p>
        </w:tc>
        <w:tc>
          <w:tcPr>
            <w:tcW w:w="2592" w:type="dxa"/>
            <w:vAlign w:val="center"/>
          </w:tcPr>
          <w:p w:rsidR="00A20DCD" w:rsidRDefault="005913AE">
            <w:pPr>
              <w:spacing w:after="0"/>
              <w:rPr>
                <w:rFonts w:hint="eastAsia"/>
              </w:rPr>
            </w:pPr>
            <w:r>
              <w:rPr>
                <w:sz w:val="17"/>
              </w:rPr>
              <w:t>2</w:t>
            </w:r>
          </w:p>
        </w:tc>
        <w:tc>
          <w:tcPr>
            <w:tcW w:w="2304" w:type="dxa"/>
            <w:vAlign w:val="center"/>
          </w:tcPr>
          <w:p w:rsidR="00A20DCD" w:rsidRDefault="005913AE">
            <w:pPr>
              <w:spacing w:after="0"/>
              <w:rPr>
                <w:rFonts w:hint="eastAsia"/>
              </w:rPr>
            </w:pPr>
            <w:r>
              <w:rPr>
                <w:sz w:val="17"/>
              </w:rPr>
              <w:t>0.4207</w:t>
            </w:r>
          </w:p>
        </w:tc>
        <w:tc>
          <w:tcPr>
            <w:tcW w:w="2592" w:type="dxa"/>
            <w:vAlign w:val="center"/>
          </w:tcPr>
          <w:p w:rsidR="00A20DCD" w:rsidRDefault="005913AE">
            <w:pPr>
              <w:spacing w:after="0"/>
              <w:rPr>
                <w:rFonts w:hint="eastAsia"/>
              </w:rPr>
            </w:pPr>
            <w:r>
              <w:rPr>
                <w:sz w:val="17"/>
              </w:rPr>
              <w:t>0.8438</w:t>
            </w:r>
          </w:p>
        </w:tc>
      </w:tr>
      <w:tr w:rsidR="00A20DCD">
        <w:trPr>
          <w:jc w:val="center"/>
        </w:trPr>
        <w:tc>
          <w:tcPr>
            <w:tcW w:w="1872" w:type="dxa"/>
            <w:shd w:val="clear" w:color="auto" w:fill="F0F4F8"/>
            <w:vAlign w:val="center"/>
          </w:tcPr>
          <w:p w:rsidR="00A20DCD" w:rsidRDefault="005913AE">
            <w:pPr>
              <w:spacing w:after="0"/>
              <w:rPr>
                <w:rFonts w:hint="eastAsia"/>
              </w:rPr>
            </w:pPr>
            <w:r>
              <w:rPr>
                <w:sz w:val="17"/>
              </w:rPr>
              <w:t>Model B</w:t>
            </w:r>
          </w:p>
        </w:tc>
        <w:tc>
          <w:tcPr>
            <w:tcW w:w="2592" w:type="dxa"/>
            <w:shd w:val="clear" w:color="auto" w:fill="F0F4F8"/>
            <w:vAlign w:val="center"/>
          </w:tcPr>
          <w:p w:rsidR="00A20DCD" w:rsidRDefault="005913AE">
            <w:pPr>
              <w:spacing w:after="0"/>
              <w:rPr>
                <w:rFonts w:hint="eastAsia"/>
              </w:rPr>
            </w:pPr>
            <w:r>
              <w:rPr>
                <w:sz w:val="17"/>
              </w:rPr>
              <w:t>31</w:t>
            </w:r>
          </w:p>
        </w:tc>
        <w:tc>
          <w:tcPr>
            <w:tcW w:w="2304" w:type="dxa"/>
            <w:shd w:val="clear" w:color="auto" w:fill="F0F4F8"/>
            <w:vAlign w:val="center"/>
          </w:tcPr>
          <w:p w:rsidR="00A20DCD" w:rsidRDefault="005913AE">
            <w:pPr>
              <w:spacing w:after="0"/>
              <w:rPr>
                <w:rFonts w:hint="eastAsia"/>
              </w:rPr>
            </w:pPr>
            <w:r>
              <w:rPr>
                <w:sz w:val="17"/>
              </w:rPr>
              <w:t>0.4197</w:t>
            </w:r>
          </w:p>
        </w:tc>
        <w:tc>
          <w:tcPr>
            <w:tcW w:w="2592" w:type="dxa"/>
            <w:shd w:val="clear" w:color="auto" w:fill="F0F4F8"/>
            <w:vAlign w:val="center"/>
          </w:tcPr>
          <w:p w:rsidR="00A20DCD" w:rsidRDefault="005913AE">
            <w:pPr>
              <w:spacing w:after="0"/>
              <w:rPr>
                <w:rFonts w:hint="eastAsia"/>
              </w:rPr>
            </w:pPr>
            <w:r>
              <w:rPr>
                <w:sz w:val="17"/>
              </w:rPr>
              <w:t>0.8450</w:t>
            </w:r>
          </w:p>
        </w:tc>
      </w:tr>
    </w:tbl>
    <w:p w:rsidR="00A20DCD" w:rsidRDefault="00A20DCD">
      <w:pPr>
        <w:spacing w:after="20"/>
        <w:rPr>
          <w:rFonts w:hint="eastAsia"/>
        </w:rPr>
      </w:pPr>
    </w:p>
    <w:p w:rsidR="00A20DCD" w:rsidRDefault="005913AE">
      <w:pPr>
        <w:rPr>
          <w:rFonts w:hint="eastAsia"/>
        </w:rPr>
      </w:pPr>
      <w:r>
        <w:t xml:space="preserve">Model B was selected because it </w:t>
      </w:r>
      <w:r>
        <w:t>achieved a slightly lower best validation loss and a slightly higher validation AUC at the epoch with minimum validation loss. The differences are small; selection was made using validation performance rather than test performance.</w:t>
      </w:r>
    </w:p>
    <w:p w:rsidR="00A20DCD" w:rsidRDefault="005913AE">
      <w:pPr>
        <w:pStyle w:val="Heading2"/>
      </w:pPr>
      <w:r>
        <w:t>5.4 Training Curves</w:t>
      </w:r>
    </w:p>
    <w:p w:rsidR="00A20DCD" w:rsidRDefault="005913AE">
      <w:r>
        <w:t>Trai</w:t>
      </w:r>
      <w:r>
        <w:t>ning and validation loss generally decreased and approached a similar range during the selected model’s training. Validation accuracy settled around 0.80. These plots are used to check learning progress and look for signs of overfitting. They should be inc</w:t>
      </w:r>
      <w:r>
        <w:t>luded as a clean chart export from Colab.</w:t>
      </w:r>
    </w:p>
    <w:p w:rsidR="00394A60" w:rsidRDefault="00394A60">
      <w:pPr>
        <w:rPr>
          <w:rFonts w:hint="eastAsia"/>
        </w:rPr>
      </w:pPr>
      <w:r>
        <w:rPr>
          <w:rFonts w:hint="eastAsia"/>
          <w:noProof/>
        </w:rPr>
        <w:drawing>
          <wp:inline distT="0" distB="0" distL="0" distR="0">
            <wp:extent cx="6270432" cy="2544417"/>
            <wp:effectExtent l="19050" t="0" r="0" b="0"/>
            <wp:docPr id="12" name="Picture 11" descr="Screenshot 2026-10-09 2246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9 224626.png"/>
                    <pic:cNvPicPr/>
                  </pic:nvPicPr>
                  <pic:blipFill>
                    <a:blip r:embed="rId16"/>
                    <a:stretch>
                      <a:fillRect/>
                    </a:stretch>
                  </pic:blipFill>
                  <pic:spPr>
                    <a:xfrm>
                      <a:off x="0" y="0"/>
                      <a:ext cx="6272530" cy="2545268"/>
                    </a:xfrm>
                    <a:prstGeom prst="rect">
                      <a:avLst/>
                    </a:prstGeom>
                  </pic:spPr>
                </pic:pic>
              </a:graphicData>
            </a:graphic>
          </wp:inline>
        </w:drawing>
      </w:r>
    </w:p>
    <w:p w:rsidR="00A20DCD" w:rsidRDefault="005913AE">
      <w:pPr>
        <w:pStyle w:val="Caption"/>
        <w:jc w:val="center"/>
        <w:rPr>
          <w:rFonts w:hint="eastAsia"/>
        </w:rPr>
      </w:pPr>
      <w:r>
        <w:t>Figure 9. Model B training and validation loss / accuracy versus epoch.</w:t>
      </w:r>
    </w:p>
    <w:p w:rsidR="00A20DCD" w:rsidRDefault="005913AE">
      <w:pPr>
        <w:pStyle w:val="Heading1"/>
      </w:pPr>
      <w:r>
        <w:t>6. Model Evaluation and Results</w:t>
      </w:r>
    </w:p>
    <w:p w:rsidR="00A20DCD" w:rsidRDefault="005913AE">
      <w:pPr>
        <w:pStyle w:val="Heading2"/>
      </w:pPr>
      <w:r>
        <w:t>6.1 Final Test Metrics</w:t>
      </w:r>
    </w:p>
    <w:p w:rsidR="00A20DCD" w:rsidRDefault="005913AE">
      <w:pPr>
        <w:rPr>
          <w:rFonts w:hint="eastAsia"/>
        </w:rPr>
      </w:pPr>
      <w:r>
        <w:t xml:space="preserve">After selecting the configuration using validation data, Model B was evaluated on the held-out </w:t>
      </w:r>
      <w:r>
        <w:t>test partition of 1,057 records. The reported metrics are based on the default probability threshold of 0.50.</w:t>
      </w:r>
    </w:p>
    <w:tbl>
      <w:tblPr>
        <w:tblStyle w:val="TableGrid"/>
        <w:tblW w:w="0" w:type="auto"/>
        <w:jc w:val="center"/>
        <w:tblLook w:val="04A0"/>
      </w:tblPr>
      <w:tblGrid>
        <w:gridCol w:w="2448"/>
        <w:gridCol w:w="2016"/>
        <w:gridCol w:w="4752"/>
      </w:tblGrid>
      <w:tr w:rsidR="00A20DCD">
        <w:trPr>
          <w:jc w:val="center"/>
        </w:trPr>
        <w:tc>
          <w:tcPr>
            <w:tcW w:w="2448" w:type="dxa"/>
            <w:shd w:val="clear" w:color="auto" w:fill="17365D"/>
            <w:vAlign w:val="center"/>
          </w:tcPr>
          <w:p w:rsidR="00A20DCD" w:rsidRDefault="005913AE">
            <w:pPr>
              <w:spacing w:after="0"/>
              <w:rPr>
                <w:rFonts w:hint="eastAsia"/>
              </w:rPr>
            </w:pPr>
            <w:r>
              <w:rPr>
                <w:b/>
                <w:color w:val="FFFFFF"/>
                <w:sz w:val="16"/>
              </w:rPr>
              <w:t>Metric</w:t>
            </w:r>
          </w:p>
        </w:tc>
        <w:tc>
          <w:tcPr>
            <w:tcW w:w="2016" w:type="dxa"/>
            <w:shd w:val="clear" w:color="auto" w:fill="17365D"/>
            <w:vAlign w:val="center"/>
          </w:tcPr>
          <w:p w:rsidR="00A20DCD" w:rsidRDefault="005913AE">
            <w:pPr>
              <w:spacing w:after="0"/>
              <w:rPr>
                <w:rFonts w:hint="eastAsia"/>
              </w:rPr>
            </w:pPr>
            <w:r>
              <w:rPr>
                <w:b/>
                <w:color w:val="FFFFFF"/>
                <w:sz w:val="16"/>
              </w:rPr>
              <w:t>Test score</w:t>
            </w:r>
          </w:p>
        </w:tc>
        <w:tc>
          <w:tcPr>
            <w:tcW w:w="4752" w:type="dxa"/>
            <w:shd w:val="clear" w:color="auto" w:fill="17365D"/>
            <w:vAlign w:val="center"/>
          </w:tcPr>
          <w:p w:rsidR="00A20DCD" w:rsidRDefault="005913AE">
            <w:pPr>
              <w:spacing w:after="0"/>
              <w:rPr>
                <w:rFonts w:hint="eastAsia"/>
              </w:rPr>
            </w:pPr>
            <w:r>
              <w:rPr>
                <w:b/>
                <w:color w:val="FFFFFF"/>
                <w:sz w:val="16"/>
              </w:rPr>
              <w:t>Interpretation</w:t>
            </w:r>
          </w:p>
        </w:tc>
      </w:tr>
      <w:tr w:rsidR="00A20DCD">
        <w:trPr>
          <w:jc w:val="center"/>
        </w:trPr>
        <w:tc>
          <w:tcPr>
            <w:tcW w:w="2448" w:type="dxa"/>
            <w:vAlign w:val="center"/>
          </w:tcPr>
          <w:p w:rsidR="00A20DCD" w:rsidRDefault="005913AE">
            <w:pPr>
              <w:spacing w:after="0"/>
              <w:rPr>
                <w:rFonts w:hint="eastAsia"/>
              </w:rPr>
            </w:pPr>
            <w:r>
              <w:rPr>
                <w:sz w:val="16"/>
              </w:rPr>
              <w:t>Accuracy</w:t>
            </w:r>
          </w:p>
        </w:tc>
        <w:tc>
          <w:tcPr>
            <w:tcW w:w="2016" w:type="dxa"/>
            <w:vAlign w:val="center"/>
          </w:tcPr>
          <w:p w:rsidR="00A20DCD" w:rsidRDefault="005913AE">
            <w:pPr>
              <w:spacing w:after="0"/>
              <w:rPr>
                <w:rFonts w:hint="eastAsia"/>
              </w:rPr>
            </w:pPr>
            <w:r>
              <w:rPr>
                <w:sz w:val="16"/>
              </w:rPr>
              <w:t>0.7994 (79.94%)</w:t>
            </w:r>
          </w:p>
        </w:tc>
        <w:tc>
          <w:tcPr>
            <w:tcW w:w="4752" w:type="dxa"/>
            <w:vAlign w:val="center"/>
          </w:tcPr>
          <w:p w:rsidR="00A20DCD" w:rsidRDefault="005913AE">
            <w:pPr>
              <w:spacing w:after="0"/>
              <w:rPr>
                <w:rFonts w:hint="eastAsia"/>
              </w:rPr>
            </w:pPr>
            <w:r>
              <w:rPr>
                <w:sz w:val="16"/>
              </w:rPr>
              <w:t>Correct classifications divided by all test records.</w:t>
            </w:r>
          </w:p>
        </w:tc>
      </w:tr>
      <w:tr w:rsidR="00A20DCD">
        <w:trPr>
          <w:jc w:val="center"/>
        </w:trPr>
        <w:tc>
          <w:tcPr>
            <w:tcW w:w="2448" w:type="dxa"/>
            <w:shd w:val="clear" w:color="auto" w:fill="F0F4F8"/>
            <w:vAlign w:val="center"/>
          </w:tcPr>
          <w:p w:rsidR="00A20DCD" w:rsidRDefault="005913AE">
            <w:pPr>
              <w:spacing w:after="0"/>
              <w:rPr>
                <w:rFonts w:hint="eastAsia"/>
              </w:rPr>
            </w:pPr>
            <w:r>
              <w:rPr>
                <w:sz w:val="16"/>
              </w:rPr>
              <w:t>Precision (Churn = Yes)</w:t>
            </w:r>
          </w:p>
        </w:tc>
        <w:tc>
          <w:tcPr>
            <w:tcW w:w="2016" w:type="dxa"/>
            <w:shd w:val="clear" w:color="auto" w:fill="F0F4F8"/>
            <w:vAlign w:val="center"/>
          </w:tcPr>
          <w:p w:rsidR="00A20DCD" w:rsidRDefault="005913AE">
            <w:pPr>
              <w:spacing w:after="0"/>
              <w:rPr>
                <w:rFonts w:hint="eastAsia"/>
              </w:rPr>
            </w:pPr>
            <w:r>
              <w:rPr>
                <w:sz w:val="16"/>
              </w:rPr>
              <w:t xml:space="preserve">0.6635 </w:t>
            </w:r>
            <w:r>
              <w:rPr>
                <w:sz w:val="16"/>
              </w:rPr>
              <w:t>(66.35%)</w:t>
            </w:r>
          </w:p>
        </w:tc>
        <w:tc>
          <w:tcPr>
            <w:tcW w:w="4752" w:type="dxa"/>
            <w:shd w:val="clear" w:color="auto" w:fill="F0F4F8"/>
            <w:vAlign w:val="center"/>
          </w:tcPr>
          <w:p w:rsidR="00A20DCD" w:rsidRDefault="005913AE">
            <w:pPr>
              <w:spacing w:after="0"/>
              <w:rPr>
                <w:rFonts w:hint="eastAsia"/>
              </w:rPr>
            </w:pPr>
            <w:r>
              <w:rPr>
                <w:sz w:val="16"/>
              </w:rPr>
              <w:t>About two-thirds of predicted churn cases were actual churn cases.</w:t>
            </w:r>
          </w:p>
        </w:tc>
      </w:tr>
      <w:tr w:rsidR="00A20DCD">
        <w:trPr>
          <w:jc w:val="center"/>
        </w:trPr>
        <w:tc>
          <w:tcPr>
            <w:tcW w:w="2448" w:type="dxa"/>
            <w:vAlign w:val="center"/>
          </w:tcPr>
          <w:p w:rsidR="00A20DCD" w:rsidRDefault="005913AE">
            <w:pPr>
              <w:spacing w:after="0"/>
              <w:rPr>
                <w:rFonts w:hint="eastAsia"/>
              </w:rPr>
            </w:pPr>
            <w:r>
              <w:rPr>
                <w:sz w:val="16"/>
              </w:rPr>
              <w:t>Recall (Churn = Yes)</w:t>
            </w:r>
          </w:p>
        </w:tc>
        <w:tc>
          <w:tcPr>
            <w:tcW w:w="2016" w:type="dxa"/>
            <w:vAlign w:val="center"/>
          </w:tcPr>
          <w:p w:rsidR="00A20DCD" w:rsidRDefault="005913AE">
            <w:pPr>
              <w:spacing w:after="0"/>
              <w:rPr>
                <w:rFonts w:hint="eastAsia"/>
              </w:rPr>
            </w:pPr>
            <w:r>
              <w:rPr>
                <w:sz w:val="16"/>
              </w:rPr>
              <w:t>0.4982 (49.82%)</w:t>
            </w:r>
          </w:p>
        </w:tc>
        <w:tc>
          <w:tcPr>
            <w:tcW w:w="4752" w:type="dxa"/>
            <w:vAlign w:val="center"/>
          </w:tcPr>
          <w:p w:rsidR="00A20DCD" w:rsidRDefault="005913AE">
            <w:pPr>
              <w:spacing w:after="0"/>
              <w:rPr>
                <w:rFonts w:hint="eastAsia"/>
              </w:rPr>
            </w:pPr>
            <w:r>
              <w:rPr>
                <w:sz w:val="16"/>
              </w:rPr>
              <w:t>The model identified 140 of the 281 customers who actually churned.</w:t>
            </w:r>
          </w:p>
        </w:tc>
      </w:tr>
      <w:tr w:rsidR="00A20DCD">
        <w:trPr>
          <w:jc w:val="center"/>
        </w:trPr>
        <w:tc>
          <w:tcPr>
            <w:tcW w:w="2448" w:type="dxa"/>
            <w:shd w:val="clear" w:color="auto" w:fill="F0F4F8"/>
            <w:vAlign w:val="center"/>
          </w:tcPr>
          <w:p w:rsidR="00A20DCD" w:rsidRDefault="005913AE">
            <w:pPr>
              <w:spacing w:after="0"/>
              <w:rPr>
                <w:rFonts w:hint="eastAsia"/>
              </w:rPr>
            </w:pPr>
            <w:r>
              <w:rPr>
                <w:sz w:val="16"/>
              </w:rPr>
              <w:t>F1-score (Churn = Yes)</w:t>
            </w:r>
          </w:p>
        </w:tc>
        <w:tc>
          <w:tcPr>
            <w:tcW w:w="2016" w:type="dxa"/>
            <w:shd w:val="clear" w:color="auto" w:fill="F0F4F8"/>
            <w:vAlign w:val="center"/>
          </w:tcPr>
          <w:p w:rsidR="00A20DCD" w:rsidRDefault="005913AE">
            <w:pPr>
              <w:spacing w:after="0"/>
              <w:rPr>
                <w:rFonts w:hint="eastAsia"/>
              </w:rPr>
            </w:pPr>
            <w:r>
              <w:rPr>
                <w:sz w:val="16"/>
              </w:rPr>
              <w:t>0.5691 (56.91%)</w:t>
            </w:r>
          </w:p>
        </w:tc>
        <w:tc>
          <w:tcPr>
            <w:tcW w:w="4752" w:type="dxa"/>
            <w:shd w:val="clear" w:color="auto" w:fill="F0F4F8"/>
            <w:vAlign w:val="center"/>
          </w:tcPr>
          <w:p w:rsidR="00A20DCD" w:rsidRDefault="005913AE">
            <w:pPr>
              <w:spacing w:after="0"/>
              <w:rPr>
                <w:rFonts w:hint="eastAsia"/>
              </w:rPr>
            </w:pPr>
            <w:r>
              <w:rPr>
                <w:sz w:val="16"/>
              </w:rPr>
              <w:t>Harmonic mean of churn precision a</w:t>
            </w:r>
            <w:r>
              <w:rPr>
                <w:sz w:val="16"/>
              </w:rPr>
              <w:t>nd recall.</w:t>
            </w:r>
          </w:p>
        </w:tc>
      </w:tr>
      <w:tr w:rsidR="00A20DCD">
        <w:trPr>
          <w:jc w:val="center"/>
        </w:trPr>
        <w:tc>
          <w:tcPr>
            <w:tcW w:w="2448" w:type="dxa"/>
            <w:vAlign w:val="center"/>
          </w:tcPr>
          <w:p w:rsidR="00A20DCD" w:rsidRDefault="005913AE">
            <w:pPr>
              <w:spacing w:after="0"/>
              <w:rPr>
                <w:rFonts w:hint="eastAsia"/>
              </w:rPr>
            </w:pPr>
            <w:r>
              <w:rPr>
                <w:sz w:val="16"/>
              </w:rPr>
              <w:t>ROC-AUC</w:t>
            </w:r>
          </w:p>
        </w:tc>
        <w:tc>
          <w:tcPr>
            <w:tcW w:w="2016" w:type="dxa"/>
            <w:vAlign w:val="center"/>
          </w:tcPr>
          <w:p w:rsidR="00A20DCD" w:rsidRDefault="005913AE">
            <w:pPr>
              <w:spacing w:after="0"/>
              <w:rPr>
                <w:rFonts w:hint="eastAsia"/>
              </w:rPr>
            </w:pPr>
            <w:r>
              <w:rPr>
                <w:sz w:val="16"/>
              </w:rPr>
              <w:t>0.8412</w:t>
            </w:r>
          </w:p>
        </w:tc>
        <w:tc>
          <w:tcPr>
            <w:tcW w:w="4752" w:type="dxa"/>
            <w:vAlign w:val="center"/>
          </w:tcPr>
          <w:p w:rsidR="00A20DCD" w:rsidRDefault="005913AE">
            <w:pPr>
              <w:spacing w:after="0"/>
              <w:rPr>
                <w:rFonts w:hint="eastAsia"/>
              </w:rPr>
            </w:pPr>
            <w:r>
              <w:rPr>
                <w:sz w:val="16"/>
              </w:rPr>
              <w:t>Measures ranking/discrimination across classification thresholds [5].</w:t>
            </w:r>
          </w:p>
        </w:tc>
      </w:tr>
    </w:tbl>
    <w:p w:rsidR="00A20DCD" w:rsidRDefault="00A20DCD">
      <w:pPr>
        <w:spacing w:after="20"/>
        <w:rPr>
          <w:rFonts w:hint="eastAsia"/>
        </w:rPr>
      </w:pPr>
    </w:p>
    <w:p w:rsidR="00A20DCD" w:rsidRDefault="005913AE">
      <w:pPr>
        <w:pStyle w:val="Heading2"/>
      </w:pPr>
      <w:r>
        <w:t>6.2 Confusion Matrix</w:t>
      </w:r>
    </w:p>
    <w:p w:rsidR="00A20DCD" w:rsidRDefault="005913AE">
      <w:pPr>
        <w:rPr>
          <w:rFonts w:hint="eastAsia"/>
        </w:rPr>
      </w:pPr>
      <w:r>
        <w:t xml:space="preserve">The confusion matrix contains 705 true negatives (retained customers correctly classified as stayed), 71 false positives (retained </w:t>
      </w:r>
      <w:r>
        <w:t>customers predicted to churn), 141 false negatives (churned customers predicted to stay), and 140 true positives (churned customers correctly identified). The high number of false negatives is consistent with the churn recall of 49.82%.</w:t>
      </w:r>
    </w:p>
    <w:p w:rsidR="00A20DCD" w:rsidRDefault="005913AE">
      <w:pPr>
        <w:spacing w:before="60" w:after="40"/>
        <w:jc w:val="center"/>
        <w:rPr>
          <w:rFonts w:hint="eastAsia"/>
        </w:rPr>
      </w:pPr>
      <w:r>
        <w:rPr>
          <w:noProof/>
        </w:rPr>
        <w:drawing>
          <wp:inline distT="0" distB="0" distL="0" distR="0">
            <wp:extent cx="5204956" cy="3077155"/>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confusion_matrix.png"/>
                    <pic:cNvPicPr/>
                  </pic:nvPicPr>
                  <pic:blipFill>
                    <a:blip r:embed="rId17"/>
                    <a:stretch>
                      <a:fillRect/>
                    </a:stretch>
                  </pic:blipFill>
                  <pic:spPr>
                    <a:xfrm>
                      <a:off x="0" y="0"/>
                      <a:ext cx="5212080" cy="3081367"/>
                    </a:xfrm>
                    <a:prstGeom prst="rect">
                      <a:avLst/>
                    </a:prstGeom>
                  </pic:spPr>
                </pic:pic>
              </a:graphicData>
            </a:graphic>
          </wp:inline>
        </w:drawing>
      </w:r>
    </w:p>
    <w:p w:rsidR="00A20DCD" w:rsidRDefault="005913AE">
      <w:pPr>
        <w:pStyle w:val="Caption"/>
        <w:jc w:val="center"/>
      </w:pPr>
      <w:r>
        <w:t>Figure 10. Confus</w:t>
      </w:r>
      <w:r>
        <w:t>ion matrix on the held-out test set (rows = actual class, columns = predicted class).</w:t>
      </w:r>
    </w:p>
    <w:p w:rsidR="0047735C" w:rsidRPr="0047735C" w:rsidRDefault="0047735C" w:rsidP="0047735C">
      <w:pPr>
        <w:rPr>
          <w:rFonts w:hint="eastAsia"/>
        </w:rPr>
      </w:pPr>
    </w:p>
    <w:tbl>
      <w:tblPr>
        <w:tblStyle w:val="TableGrid"/>
        <w:tblW w:w="0" w:type="auto"/>
        <w:jc w:val="center"/>
        <w:tblLook w:val="04A0"/>
      </w:tblPr>
      <w:tblGrid>
        <w:gridCol w:w="2880"/>
        <w:gridCol w:w="3168"/>
        <w:gridCol w:w="3168"/>
      </w:tblGrid>
      <w:tr w:rsidR="00A20DCD">
        <w:trPr>
          <w:jc w:val="center"/>
        </w:trPr>
        <w:tc>
          <w:tcPr>
            <w:tcW w:w="2880" w:type="dxa"/>
            <w:shd w:val="clear" w:color="auto" w:fill="17365D"/>
            <w:vAlign w:val="center"/>
          </w:tcPr>
          <w:p w:rsidR="00A20DCD" w:rsidRDefault="005913AE">
            <w:pPr>
              <w:spacing w:after="0"/>
              <w:rPr>
                <w:rFonts w:hint="eastAsia"/>
              </w:rPr>
            </w:pPr>
            <w:r>
              <w:rPr>
                <w:b/>
                <w:color w:val="FFFFFF"/>
                <w:sz w:val="17"/>
              </w:rPr>
              <w:t>Actual / Predicted</w:t>
            </w:r>
          </w:p>
        </w:tc>
        <w:tc>
          <w:tcPr>
            <w:tcW w:w="3168" w:type="dxa"/>
            <w:shd w:val="clear" w:color="auto" w:fill="17365D"/>
            <w:vAlign w:val="center"/>
          </w:tcPr>
          <w:p w:rsidR="00A20DCD" w:rsidRDefault="005913AE">
            <w:pPr>
              <w:spacing w:after="0"/>
              <w:rPr>
                <w:rFonts w:hint="eastAsia"/>
              </w:rPr>
            </w:pPr>
            <w:r>
              <w:rPr>
                <w:b/>
                <w:color w:val="FFFFFF"/>
                <w:sz w:val="17"/>
              </w:rPr>
              <w:t>Stayed</w:t>
            </w:r>
          </w:p>
        </w:tc>
        <w:tc>
          <w:tcPr>
            <w:tcW w:w="3168" w:type="dxa"/>
            <w:shd w:val="clear" w:color="auto" w:fill="17365D"/>
            <w:vAlign w:val="center"/>
          </w:tcPr>
          <w:p w:rsidR="00A20DCD" w:rsidRDefault="005913AE">
            <w:pPr>
              <w:spacing w:after="0"/>
              <w:rPr>
                <w:rFonts w:hint="eastAsia"/>
              </w:rPr>
            </w:pPr>
            <w:r>
              <w:rPr>
                <w:b/>
                <w:color w:val="FFFFFF"/>
                <w:sz w:val="17"/>
              </w:rPr>
              <w:t>Churned</w:t>
            </w:r>
          </w:p>
        </w:tc>
      </w:tr>
      <w:tr w:rsidR="00A20DCD">
        <w:trPr>
          <w:jc w:val="center"/>
        </w:trPr>
        <w:tc>
          <w:tcPr>
            <w:tcW w:w="2880" w:type="dxa"/>
            <w:vAlign w:val="center"/>
          </w:tcPr>
          <w:p w:rsidR="00A20DCD" w:rsidRDefault="005913AE">
            <w:pPr>
              <w:spacing w:after="0"/>
              <w:rPr>
                <w:rFonts w:hint="eastAsia"/>
              </w:rPr>
            </w:pPr>
            <w:r>
              <w:rPr>
                <w:sz w:val="17"/>
              </w:rPr>
              <w:t>Stayed</w:t>
            </w:r>
          </w:p>
        </w:tc>
        <w:tc>
          <w:tcPr>
            <w:tcW w:w="3168" w:type="dxa"/>
            <w:vAlign w:val="center"/>
          </w:tcPr>
          <w:p w:rsidR="00A20DCD" w:rsidRDefault="005913AE">
            <w:pPr>
              <w:spacing w:after="0"/>
              <w:rPr>
                <w:rFonts w:hint="eastAsia"/>
              </w:rPr>
            </w:pPr>
            <w:r>
              <w:rPr>
                <w:sz w:val="17"/>
              </w:rPr>
              <w:t>705 (true negative)</w:t>
            </w:r>
          </w:p>
        </w:tc>
        <w:tc>
          <w:tcPr>
            <w:tcW w:w="3168" w:type="dxa"/>
            <w:vAlign w:val="center"/>
          </w:tcPr>
          <w:p w:rsidR="00A20DCD" w:rsidRDefault="005913AE">
            <w:pPr>
              <w:spacing w:after="0"/>
              <w:rPr>
                <w:rFonts w:hint="eastAsia"/>
              </w:rPr>
            </w:pPr>
            <w:r>
              <w:rPr>
                <w:sz w:val="17"/>
              </w:rPr>
              <w:t>71 (false positive)</w:t>
            </w:r>
          </w:p>
        </w:tc>
      </w:tr>
      <w:tr w:rsidR="00A20DCD">
        <w:trPr>
          <w:jc w:val="center"/>
        </w:trPr>
        <w:tc>
          <w:tcPr>
            <w:tcW w:w="2880" w:type="dxa"/>
            <w:shd w:val="clear" w:color="auto" w:fill="F0F4F8"/>
            <w:vAlign w:val="center"/>
          </w:tcPr>
          <w:p w:rsidR="00A20DCD" w:rsidRDefault="005913AE">
            <w:pPr>
              <w:spacing w:after="0"/>
              <w:rPr>
                <w:rFonts w:hint="eastAsia"/>
              </w:rPr>
            </w:pPr>
            <w:r>
              <w:rPr>
                <w:sz w:val="17"/>
              </w:rPr>
              <w:t>Churned</w:t>
            </w:r>
          </w:p>
        </w:tc>
        <w:tc>
          <w:tcPr>
            <w:tcW w:w="3168" w:type="dxa"/>
            <w:shd w:val="clear" w:color="auto" w:fill="F0F4F8"/>
            <w:vAlign w:val="center"/>
          </w:tcPr>
          <w:p w:rsidR="00A20DCD" w:rsidRDefault="005913AE">
            <w:pPr>
              <w:spacing w:after="0"/>
              <w:rPr>
                <w:rFonts w:hint="eastAsia"/>
              </w:rPr>
            </w:pPr>
            <w:r>
              <w:rPr>
                <w:sz w:val="17"/>
              </w:rPr>
              <w:t>141 (false negative)</w:t>
            </w:r>
          </w:p>
        </w:tc>
        <w:tc>
          <w:tcPr>
            <w:tcW w:w="3168" w:type="dxa"/>
            <w:shd w:val="clear" w:color="auto" w:fill="F0F4F8"/>
            <w:vAlign w:val="center"/>
          </w:tcPr>
          <w:p w:rsidR="00A20DCD" w:rsidRDefault="005913AE">
            <w:pPr>
              <w:spacing w:after="0"/>
              <w:rPr>
                <w:rFonts w:hint="eastAsia"/>
              </w:rPr>
            </w:pPr>
            <w:r>
              <w:rPr>
                <w:sz w:val="17"/>
              </w:rPr>
              <w:t>140 (true positive)</w:t>
            </w:r>
          </w:p>
        </w:tc>
      </w:tr>
    </w:tbl>
    <w:p w:rsidR="00A20DCD" w:rsidRDefault="00A20DCD">
      <w:pPr>
        <w:spacing w:after="20"/>
        <w:rPr>
          <w:rFonts w:hint="eastAsia"/>
        </w:rPr>
      </w:pPr>
    </w:p>
    <w:p w:rsidR="00A20DCD" w:rsidRDefault="005913AE">
      <w:pPr>
        <w:pStyle w:val="Heading2"/>
      </w:pPr>
      <w:r>
        <w:t>6.3 ROC Curve and AUC</w:t>
      </w:r>
    </w:p>
    <w:p w:rsidR="00A20DCD" w:rsidRDefault="005913AE">
      <w:pPr>
        <w:rPr>
          <w:rFonts w:hint="eastAsia"/>
        </w:rPr>
      </w:pPr>
      <w:r>
        <w:t xml:space="preserve">The ROC curve </w:t>
      </w:r>
      <w:r>
        <w:t>plots the true-positive rate against the false-positive rate as the classification threshold changes. The test ROC-AUC was 0.8412. This indicates useful discriminative ability in the test sample, although the default threshold does not identify all custome</w:t>
      </w:r>
      <w:r>
        <w:t>rs who churn. ROC-AUC assesses ranking across thresholds and does not by itself specify the operating threshold [5].</w:t>
      </w:r>
    </w:p>
    <w:p w:rsidR="00A20DCD" w:rsidRDefault="005913AE">
      <w:pPr>
        <w:spacing w:before="60" w:after="40"/>
        <w:jc w:val="center"/>
        <w:rPr>
          <w:rFonts w:hint="eastAsia"/>
        </w:rPr>
      </w:pPr>
      <w:r>
        <w:rPr>
          <w:noProof/>
        </w:rPr>
        <w:drawing>
          <wp:inline distT="0" distB="0" distL="0" distR="0">
            <wp:extent cx="4704025" cy="2671638"/>
            <wp:effectExtent l="19050" t="0" r="13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_roc_curve.png"/>
                    <pic:cNvPicPr/>
                  </pic:nvPicPr>
                  <pic:blipFill>
                    <a:blip r:embed="rId18"/>
                    <a:stretch>
                      <a:fillRect/>
                    </a:stretch>
                  </pic:blipFill>
                  <pic:spPr>
                    <a:xfrm>
                      <a:off x="0" y="0"/>
                      <a:ext cx="4710246" cy="2675171"/>
                    </a:xfrm>
                    <a:prstGeom prst="rect">
                      <a:avLst/>
                    </a:prstGeom>
                  </pic:spPr>
                </pic:pic>
              </a:graphicData>
            </a:graphic>
          </wp:inline>
        </w:drawing>
      </w:r>
    </w:p>
    <w:p w:rsidR="00A20DCD" w:rsidRDefault="005913AE">
      <w:pPr>
        <w:pStyle w:val="Caption"/>
        <w:jc w:val="center"/>
        <w:rPr>
          <w:rFonts w:hint="eastAsia"/>
        </w:rPr>
      </w:pPr>
      <w:r>
        <w:t>Figure 11. ROC curve for Model B on the test set (AUC = 0.8412).</w:t>
      </w:r>
    </w:p>
    <w:p w:rsidR="00A20DCD" w:rsidRPr="007935D5" w:rsidRDefault="005913AE" w:rsidP="00394A60">
      <w:pPr>
        <w:rPr>
          <w:rFonts w:asciiTheme="majorHAnsi" w:hAnsiTheme="majorHAnsi" w:cstheme="majorHAnsi"/>
          <w:color w:val="1F497D" w:themeColor="text2"/>
          <w:sz w:val="28"/>
        </w:rPr>
      </w:pPr>
      <w:r w:rsidRPr="007935D5">
        <w:rPr>
          <w:rFonts w:asciiTheme="majorHAnsi" w:hAnsiTheme="majorHAnsi" w:cstheme="majorHAnsi"/>
          <w:color w:val="1F497D" w:themeColor="text2"/>
          <w:sz w:val="28"/>
        </w:rPr>
        <w:t>6.4 Permutation Feature Importance</w:t>
      </w:r>
    </w:p>
    <w:p w:rsidR="00A20DCD" w:rsidRDefault="005913AE">
      <w:r>
        <w:t>Permutation importance was calculat</w:t>
      </w:r>
      <w:r>
        <w:t>ed on validation data by shuffling one original feature at a time and measuring the decrease in validation ROC-AUC. This approach estimates the extent to which the fitted model relies on a feature, rather than demonstrating a causal relationship [4]. The b</w:t>
      </w:r>
      <w:r>
        <w:t>aseline validation ROC-AUC reported during this analysis was 0.8448.</w:t>
      </w:r>
    </w:p>
    <w:p w:rsidR="0047735C" w:rsidRDefault="0047735C">
      <w:pPr>
        <w:rPr>
          <w:rFonts w:hint="eastAsia"/>
        </w:rPr>
      </w:pPr>
    </w:p>
    <w:p w:rsidR="00A20DCD" w:rsidRDefault="005913AE">
      <w:pPr>
        <w:spacing w:before="60" w:after="40"/>
        <w:jc w:val="center"/>
        <w:rPr>
          <w:rFonts w:hint="eastAsia"/>
        </w:rPr>
      </w:pPr>
      <w:r>
        <w:rPr>
          <w:noProof/>
        </w:rPr>
        <w:drawing>
          <wp:inline distT="0" distB="0" distL="0" distR="0">
            <wp:extent cx="4800600" cy="33133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2_feature_importance.png"/>
                    <pic:cNvPicPr/>
                  </pic:nvPicPr>
                  <pic:blipFill>
                    <a:blip r:embed="rId19"/>
                    <a:stretch>
                      <a:fillRect/>
                    </a:stretch>
                  </pic:blipFill>
                  <pic:spPr>
                    <a:xfrm>
                      <a:off x="0" y="0"/>
                      <a:ext cx="4800600" cy="3313355"/>
                    </a:xfrm>
                    <a:prstGeom prst="rect">
                      <a:avLst/>
                    </a:prstGeom>
                  </pic:spPr>
                </pic:pic>
              </a:graphicData>
            </a:graphic>
          </wp:inline>
        </w:drawing>
      </w:r>
    </w:p>
    <w:p w:rsidR="00A20DCD" w:rsidRDefault="005913AE">
      <w:pPr>
        <w:pStyle w:val="Caption"/>
        <w:jc w:val="center"/>
      </w:pPr>
      <w:r>
        <w:t>Figure 12. Ten leading original features ranked by decrease in validation ROC-AUC after shuffling.</w:t>
      </w:r>
    </w:p>
    <w:p w:rsidR="0047735C" w:rsidRPr="0047735C" w:rsidRDefault="0047735C" w:rsidP="0047735C">
      <w:pPr>
        <w:rPr>
          <w:rFonts w:hint="eastAsia"/>
        </w:rPr>
      </w:pPr>
    </w:p>
    <w:tbl>
      <w:tblPr>
        <w:tblStyle w:val="TableGrid"/>
        <w:tblW w:w="0" w:type="auto"/>
        <w:jc w:val="center"/>
        <w:tblLook w:val="04A0"/>
      </w:tblPr>
      <w:tblGrid>
        <w:gridCol w:w="1152"/>
        <w:gridCol w:w="4608"/>
        <w:gridCol w:w="2592"/>
      </w:tblGrid>
      <w:tr w:rsidR="00A20DCD">
        <w:trPr>
          <w:jc w:val="center"/>
        </w:trPr>
        <w:tc>
          <w:tcPr>
            <w:tcW w:w="1152" w:type="dxa"/>
            <w:shd w:val="clear" w:color="auto" w:fill="17365D"/>
            <w:vAlign w:val="center"/>
          </w:tcPr>
          <w:p w:rsidR="00A20DCD" w:rsidRDefault="005913AE">
            <w:pPr>
              <w:spacing w:after="0"/>
              <w:rPr>
                <w:rFonts w:hint="eastAsia"/>
              </w:rPr>
            </w:pPr>
            <w:r>
              <w:rPr>
                <w:b/>
                <w:color w:val="FFFFFF"/>
                <w:sz w:val="17"/>
              </w:rPr>
              <w:t>Rank</w:t>
            </w:r>
          </w:p>
        </w:tc>
        <w:tc>
          <w:tcPr>
            <w:tcW w:w="4608" w:type="dxa"/>
            <w:shd w:val="clear" w:color="auto" w:fill="17365D"/>
            <w:vAlign w:val="center"/>
          </w:tcPr>
          <w:p w:rsidR="00A20DCD" w:rsidRDefault="005913AE">
            <w:pPr>
              <w:spacing w:after="0"/>
              <w:rPr>
                <w:rFonts w:hint="eastAsia"/>
              </w:rPr>
            </w:pPr>
            <w:r>
              <w:rPr>
                <w:b/>
                <w:color w:val="FFFFFF"/>
                <w:sz w:val="17"/>
              </w:rPr>
              <w:t>Feature</w:t>
            </w:r>
          </w:p>
        </w:tc>
        <w:tc>
          <w:tcPr>
            <w:tcW w:w="2592" w:type="dxa"/>
            <w:shd w:val="clear" w:color="auto" w:fill="17365D"/>
            <w:vAlign w:val="center"/>
          </w:tcPr>
          <w:p w:rsidR="00A20DCD" w:rsidRDefault="005913AE">
            <w:pPr>
              <w:spacing w:after="0"/>
              <w:rPr>
                <w:rFonts w:hint="eastAsia"/>
              </w:rPr>
            </w:pPr>
            <w:r>
              <w:rPr>
                <w:b/>
                <w:color w:val="FFFFFF"/>
                <w:sz w:val="17"/>
              </w:rPr>
              <w:t>Importance</w:t>
            </w:r>
          </w:p>
        </w:tc>
      </w:tr>
      <w:tr w:rsidR="00A20DCD">
        <w:trPr>
          <w:jc w:val="center"/>
        </w:trPr>
        <w:tc>
          <w:tcPr>
            <w:tcW w:w="1152" w:type="dxa"/>
            <w:vAlign w:val="center"/>
          </w:tcPr>
          <w:p w:rsidR="00A20DCD" w:rsidRDefault="005913AE">
            <w:pPr>
              <w:spacing w:after="0"/>
              <w:rPr>
                <w:rFonts w:hint="eastAsia"/>
              </w:rPr>
            </w:pPr>
            <w:r>
              <w:rPr>
                <w:sz w:val="17"/>
              </w:rPr>
              <w:t>1</w:t>
            </w:r>
          </w:p>
        </w:tc>
        <w:tc>
          <w:tcPr>
            <w:tcW w:w="4608" w:type="dxa"/>
            <w:vAlign w:val="center"/>
          </w:tcPr>
          <w:p w:rsidR="00A20DCD" w:rsidRDefault="005913AE">
            <w:pPr>
              <w:spacing w:after="0"/>
              <w:rPr>
                <w:rFonts w:hint="eastAsia"/>
              </w:rPr>
            </w:pPr>
            <w:r>
              <w:rPr>
                <w:sz w:val="17"/>
              </w:rPr>
              <w:t>tenure</w:t>
            </w:r>
          </w:p>
        </w:tc>
        <w:tc>
          <w:tcPr>
            <w:tcW w:w="2592" w:type="dxa"/>
            <w:vAlign w:val="center"/>
          </w:tcPr>
          <w:p w:rsidR="00A20DCD" w:rsidRDefault="005913AE">
            <w:pPr>
              <w:spacing w:after="0"/>
              <w:rPr>
                <w:rFonts w:hint="eastAsia"/>
              </w:rPr>
            </w:pPr>
            <w:r>
              <w:rPr>
                <w:sz w:val="17"/>
              </w:rPr>
              <w:t>0.0528</w:t>
            </w:r>
          </w:p>
        </w:tc>
      </w:tr>
      <w:tr w:rsidR="00A20DCD">
        <w:trPr>
          <w:jc w:val="center"/>
        </w:trPr>
        <w:tc>
          <w:tcPr>
            <w:tcW w:w="1152" w:type="dxa"/>
            <w:shd w:val="clear" w:color="auto" w:fill="F0F4F8"/>
            <w:vAlign w:val="center"/>
          </w:tcPr>
          <w:p w:rsidR="00A20DCD" w:rsidRDefault="005913AE">
            <w:pPr>
              <w:spacing w:after="0"/>
              <w:rPr>
                <w:rFonts w:hint="eastAsia"/>
              </w:rPr>
            </w:pPr>
            <w:r>
              <w:rPr>
                <w:sz w:val="17"/>
              </w:rPr>
              <w:t>2</w:t>
            </w:r>
          </w:p>
        </w:tc>
        <w:tc>
          <w:tcPr>
            <w:tcW w:w="4608" w:type="dxa"/>
            <w:shd w:val="clear" w:color="auto" w:fill="F0F4F8"/>
            <w:vAlign w:val="center"/>
          </w:tcPr>
          <w:p w:rsidR="00A20DCD" w:rsidRDefault="005913AE">
            <w:pPr>
              <w:spacing w:after="0"/>
              <w:rPr>
                <w:rFonts w:hint="eastAsia"/>
              </w:rPr>
            </w:pPr>
            <w:r>
              <w:rPr>
                <w:sz w:val="17"/>
              </w:rPr>
              <w:t>Contract</w:t>
            </w:r>
          </w:p>
        </w:tc>
        <w:tc>
          <w:tcPr>
            <w:tcW w:w="2592" w:type="dxa"/>
            <w:shd w:val="clear" w:color="auto" w:fill="F0F4F8"/>
            <w:vAlign w:val="center"/>
          </w:tcPr>
          <w:p w:rsidR="00A20DCD" w:rsidRDefault="005913AE">
            <w:pPr>
              <w:spacing w:after="0"/>
              <w:rPr>
                <w:rFonts w:hint="eastAsia"/>
              </w:rPr>
            </w:pPr>
            <w:r>
              <w:rPr>
                <w:sz w:val="17"/>
              </w:rPr>
              <w:t>0.0460</w:t>
            </w:r>
          </w:p>
        </w:tc>
      </w:tr>
      <w:tr w:rsidR="00A20DCD">
        <w:trPr>
          <w:jc w:val="center"/>
        </w:trPr>
        <w:tc>
          <w:tcPr>
            <w:tcW w:w="1152" w:type="dxa"/>
            <w:vAlign w:val="center"/>
          </w:tcPr>
          <w:p w:rsidR="00A20DCD" w:rsidRDefault="005913AE">
            <w:pPr>
              <w:spacing w:after="0"/>
              <w:rPr>
                <w:rFonts w:hint="eastAsia"/>
              </w:rPr>
            </w:pPr>
            <w:r>
              <w:rPr>
                <w:sz w:val="17"/>
              </w:rPr>
              <w:t>3</w:t>
            </w:r>
          </w:p>
        </w:tc>
        <w:tc>
          <w:tcPr>
            <w:tcW w:w="4608" w:type="dxa"/>
            <w:vAlign w:val="center"/>
          </w:tcPr>
          <w:p w:rsidR="00A20DCD" w:rsidRDefault="005913AE">
            <w:pPr>
              <w:spacing w:after="0"/>
              <w:rPr>
                <w:rFonts w:hint="eastAsia"/>
              </w:rPr>
            </w:pPr>
            <w:r>
              <w:rPr>
                <w:sz w:val="17"/>
              </w:rPr>
              <w:t>InternetService</w:t>
            </w:r>
          </w:p>
        </w:tc>
        <w:tc>
          <w:tcPr>
            <w:tcW w:w="2592" w:type="dxa"/>
            <w:vAlign w:val="center"/>
          </w:tcPr>
          <w:p w:rsidR="00A20DCD" w:rsidRDefault="005913AE">
            <w:pPr>
              <w:spacing w:after="0"/>
              <w:rPr>
                <w:rFonts w:hint="eastAsia"/>
              </w:rPr>
            </w:pPr>
            <w:r>
              <w:rPr>
                <w:sz w:val="17"/>
              </w:rPr>
              <w:t>0.0147</w:t>
            </w:r>
          </w:p>
        </w:tc>
      </w:tr>
      <w:tr w:rsidR="00A20DCD">
        <w:trPr>
          <w:jc w:val="center"/>
        </w:trPr>
        <w:tc>
          <w:tcPr>
            <w:tcW w:w="1152" w:type="dxa"/>
            <w:shd w:val="clear" w:color="auto" w:fill="F0F4F8"/>
            <w:vAlign w:val="center"/>
          </w:tcPr>
          <w:p w:rsidR="00A20DCD" w:rsidRDefault="005913AE">
            <w:pPr>
              <w:spacing w:after="0"/>
              <w:rPr>
                <w:rFonts w:hint="eastAsia"/>
              </w:rPr>
            </w:pPr>
            <w:r>
              <w:rPr>
                <w:sz w:val="17"/>
              </w:rPr>
              <w:t>4</w:t>
            </w:r>
          </w:p>
        </w:tc>
        <w:tc>
          <w:tcPr>
            <w:tcW w:w="4608" w:type="dxa"/>
            <w:shd w:val="clear" w:color="auto" w:fill="F0F4F8"/>
            <w:vAlign w:val="center"/>
          </w:tcPr>
          <w:p w:rsidR="00A20DCD" w:rsidRDefault="005913AE">
            <w:pPr>
              <w:spacing w:after="0"/>
              <w:rPr>
                <w:rFonts w:hint="eastAsia"/>
              </w:rPr>
            </w:pPr>
            <w:r>
              <w:rPr>
                <w:sz w:val="17"/>
              </w:rPr>
              <w:t>TotalCharges</w:t>
            </w:r>
          </w:p>
        </w:tc>
        <w:tc>
          <w:tcPr>
            <w:tcW w:w="2592" w:type="dxa"/>
            <w:shd w:val="clear" w:color="auto" w:fill="F0F4F8"/>
            <w:vAlign w:val="center"/>
          </w:tcPr>
          <w:p w:rsidR="00A20DCD" w:rsidRDefault="005913AE">
            <w:pPr>
              <w:spacing w:after="0"/>
              <w:rPr>
                <w:rFonts w:hint="eastAsia"/>
              </w:rPr>
            </w:pPr>
            <w:r>
              <w:rPr>
                <w:sz w:val="17"/>
              </w:rPr>
              <w:t>0.0080</w:t>
            </w:r>
          </w:p>
        </w:tc>
      </w:tr>
      <w:tr w:rsidR="00A20DCD">
        <w:trPr>
          <w:jc w:val="center"/>
        </w:trPr>
        <w:tc>
          <w:tcPr>
            <w:tcW w:w="1152" w:type="dxa"/>
            <w:vAlign w:val="center"/>
          </w:tcPr>
          <w:p w:rsidR="00A20DCD" w:rsidRDefault="005913AE">
            <w:pPr>
              <w:spacing w:after="0"/>
              <w:rPr>
                <w:rFonts w:hint="eastAsia"/>
              </w:rPr>
            </w:pPr>
            <w:r>
              <w:rPr>
                <w:sz w:val="17"/>
              </w:rPr>
              <w:t>5</w:t>
            </w:r>
          </w:p>
        </w:tc>
        <w:tc>
          <w:tcPr>
            <w:tcW w:w="4608" w:type="dxa"/>
            <w:vAlign w:val="center"/>
          </w:tcPr>
          <w:p w:rsidR="00A20DCD" w:rsidRDefault="005913AE">
            <w:pPr>
              <w:spacing w:after="0"/>
              <w:rPr>
                <w:rFonts w:hint="eastAsia"/>
              </w:rPr>
            </w:pPr>
            <w:r>
              <w:rPr>
                <w:sz w:val="17"/>
              </w:rPr>
              <w:t>TechSupport</w:t>
            </w:r>
          </w:p>
        </w:tc>
        <w:tc>
          <w:tcPr>
            <w:tcW w:w="2592" w:type="dxa"/>
            <w:vAlign w:val="center"/>
          </w:tcPr>
          <w:p w:rsidR="00A20DCD" w:rsidRDefault="005913AE">
            <w:pPr>
              <w:spacing w:after="0"/>
              <w:rPr>
                <w:rFonts w:hint="eastAsia"/>
              </w:rPr>
            </w:pPr>
            <w:r>
              <w:rPr>
                <w:sz w:val="17"/>
              </w:rPr>
              <w:t>0.0053</w:t>
            </w:r>
          </w:p>
        </w:tc>
      </w:tr>
      <w:tr w:rsidR="00A20DCD">
        <w:trPr>
          <w:jc w:val="center"/>
        </w:trPr>
        <w:tc>
          <w:tcPr>
            <w:tcW w:w="1152" w:type="dxa"/>
            <w:shd w:val="clear" w:color="auto" w:fill="F0F4F8"/>
            <w:vAlign w:val="center"/>
          </w:tcPr>
          <w:p w:rsidR="00A20DCD" w:rsidRDefault="005913AE">
            <w:pPr>
              <w:spacing w:after="0"/>
              <w:rPr>
                <w:rFonts w:hint="eastAsia"/>
              </w:rPr>
            </w:pPr>
            <w:r>
              <w:rPr>
                <w:sz w:val="17"/>
              </w:rPr>
              <w:t>6</w:t>
            </w:r>
          </w:p>
        </w:tc>
        <w:tc>
          <w:tcPr>
            <w:tcW w:w="4608" w:type="dxa"/>
            <w:shd w:val="clear" w:color="auto" w:fill="F0F4F8"/>
            <w:vAlign w:val="center"/>
          </w:tcPr>
          <w:p w:rsidR="00A20DCD" w:rsidRDefault="005913AE">
            <w:pPr>
              <w:spacing w:after="0"/>
              <w:rPr>
                <w:rFonts w:hint="eastAsia"/>
              </w:rPr>
            </w:pPr>
            <w:r>
              <w:rPr>
                <w:sz w:val="17"/>
              </w:rPr>
              <w:t>MonthlyCharges</w:t>
            </w:r>
          </w:p>
        </w:tc>
        <w:tc>
          <w:tcPr>
            <w:tcW w:w="2592" w:type="dxa"/>
            <w:shd w:val="clear" w:color="auto" w:fill="F0F4F8"/>
            <w:vAlign w:val="center"/>
          </w:tcPr>
          <w:p w:rsidR="00A20DCD" w:rsidRDefault="005913AE">
            <w:pPr>
              <w:spacing w:after="0"/>
              <w:rPr>
                <w:rFonts w:hint="eastAsia"/>
              </w:rPr>
            </w:pPr>
            <w:r>
              <w:rPr>
                <w:sz w:val="17"/>
              </w:rPr>
              <w:t>0.0051</w:t>
            </w:r>
          </w:p>
        </w:tc>
      </w:tr>
      <w:tr w:rsidR="00A20DCD">
        <w:trPr>
          <w:jc w:val="center"/>
        </w:trPr>
        <w:tc>
          <w:tcPr>
            <w:tcW w:w="1152" w:type="dxa"/>
            <w:vAlign w:val="center"/>
          </w:tcPr>
          <w:p w:rsidR="00A20DCD" w:rsidRDefault="005913AE">
            <w:pPr>
              <w:spacing w:after="0"/>
              <w:rPr>
                <w:rFonts w:hint="eastAsia"/>
              </w:rPr>
            </w:pPr>
            <w:r>
              <w:rPr>
                <w:sz w:val="17"/>
              </w:rPr>
              <w:t>7</w:t>
            </w:r>
          </w:p>
        </w:tc>
        <w:tc>
          <w:tcPr>
            <w:tcW w:w="4608" w:type="dxa"/>
            <w:vAlign w:val="center"/>
          </w:tcPr>
          <w:p w:rsidR="00A20DCD" w:rsidRDefault="005913AE">
            <w:pPr>
              <w:spacing w:after="0"/>
              <w:rPr>
                <w:rFonts w:hint="eastAsia"/>
              </w:rPr>
            </w:pPr>
            <w:r>
              <w:rPr>
                <w:sz w:val="17"/>
              </w:rPr>
              <w:t>StreamingMovies</w:t>
            </w:r>
          </w:p>
        </w:tc>
        <w:tc>
          <w:tcPr>
            <w:tcW w:w="2592" w:type="dxa"/>
            <w:vAlign w:val="center"/>
          </w:tcPr>
          <w:p w:rsidR="00A20DCD" w:rsidRDefault="005913AE">
            <w:pPr>
              <w:spacing w:after="0"/>
              <w:rPr>
                <w:rFonts w:hint="eastAsia"/>
              </w:rPr>
            </w:pPr>
            <w:r>
              <w:rPr>
                <w:sz w:val="17"/>
              </w:rPr>
              <w:t>0.0037</w:t>
            </w:r>
          </w:p>
        </w:tc>
      </w:tr>
      <w:tr w:rsidR="00A20DCD">
        <w:trPr>
          <w:jc w:val="center"/>
        </w:trPr>
        <w:tc>
          <w:tcPr>
            <w:tcW w:w="1152" w:type="dxa"/>
            <w:shd w:val="clear" w:color="auto" w:fill="F0F4F8"/>
            <w:vAlign w:val="center"/>
          </w:tcPr>
          <w:p w:rsidR="00A20DCD" w:rsidRDefault="005913AE">
            <w:pPr>
              <w:spacing w:after="0"/>
              <w:rPr>
                <w:rFonts w:hint="eastAsia"/>
              </w:rPr>
            </w:pPr>
            <w:r>
              <w:rPr>
                <w:sz w:val="17"/>
              </w:rPr>
              <w:t>8</w:t>
            </w:r>
          </w:p>
        </w:tc>
        <w:tc>
          <w:tcPr>
            <w:tcW w:w="4608" w:type="dxa"/>
            <w:shd w:val="clear" w:color="auto" w:fill="F0F4F8"/>
            <w:vAlign w:val="center"/>
          </w:tcPr>
          <w:p w:rsidR="00A20DCD" w:rsidRDefault="005913AE">
            <w:pPr>
              <w:spacing w:after="0"/>
              <w:rPr>
                <w:rFonts w:hint="eastAsia"/>
              </w:rPr>
            </w:pPr>
            <w:r>
              <w:rPr>
                <w:sz w:val="17"/>
              </w:rPr>
              <w:t>MultipleLines</w:t>
            </w:r>
          </w:p>
        </w:tc>
        <w:tc>
          <w:tcPr>
            <w:tcW w:w="2592" w:type="dxa"/>
            <w:shd w:val="clear" w:color="auto" w:fill="F0F4F8"/>
            <w:vAlign w:val="center"/>
          </w:tcPr>
          <w:p w:rsidR="00A20DCD" w:rsidRDefault="005913AE">
            <w:pPr>
              <w:spacing w:after="0"/>
              <w:rPr>
                <w:rFonts w:hint="eastAsia"/>
              </w:rPr>
            </w:pPr>
            <w:r>
              <w:rPr>
                <w:sz w:val="17"/>
              </w:rPr>
              <w:t>0.0036</w:t>
            </w:r>
          </w:p>
        </w:tc>
      </w:tr>
      <w:tr w:rsidR="00A20DCD">
        <w:trPr>
          <w:jc w:val="center"/>
        </w:trPr>
        <w:tc>
          <w:tcPr>
            <w:tcW w:w="1152" w:type="dxa"/>
            <w:vAlign w:val="center"/>
          </w:tcPr>
          <w:p w:rsidR="00A20DCD" w:rsidRDefault="005913AE">
            <w:pPr>
              <w:spacing w:after="0"/>
              <w:rPr>
                <w:rFonts w:hint="eastAsia"/>
              </w:rPr>
            </w:pPr>
            <w:r>
              <w:rPr>
                <w:sz w:val="17"/>
              </w:rPr>
              <w:t>9</w:t>
            </w:r>
          </w:p>
        </w:tc>
        <w:tc>
          <w:tcPr>
            <w:tcW w:w="4608" w:type="dxa"/>
            <w:vAlign w:val="center"/>
          </w:tcPr>
          <w:p w:rsidR="00A20DCD" w:rsidRDefault="005913AE">
            <w:pPr>
              <w:spacing w:after="0"/>
              <w:rPr>
                <w:rFonts w:hint="eastAsia"/>
              </w:rPr>
            </w:pPr>
            <w:r>
              <w:rPr>
                <w:sz w:val="17"/>
              </w:rPr>
              <w:t>PaperlessBilling</w:t>
            </w:r>
          </w:p>
        </w:tc>
        <w:tc>
          <w:tcPr>
            <w:tcW w:w="2592" w:type="dxa"/>
            <w:vAlign w:val="center"/>
          </w:tcPr>
          <w:p w:rsidR="00A20DCD" w:rsidRDefault="005913AE">
            <w:pPr>
              <w:spacing w:after="0"/>
              <w:rPr>
                <w:rFonts w:hint="eastAsia"/>
              </w:rPr>
            </w:pPr>
            <w:r>
              <w:rPr>
                <w:sz w:val="17"/>
              </w:rPr>
              <w:t>0.0028</w:t>
            </w:r>
          </w:p>
        </w:tc>
      </w:tr>
      <w:tr w:rsidR="00A20DCD">
        <w:trPr>
          <w:jc w:val="center"/>
        </w:trPr>
        <w:tc>
          <w:tcPr>
            <w:tcW w:w="1152" w:type="dxa"/>
            <w:shd w:val="clear" w:color="auto" w:fill="F0F4F8"/>
            <w:vAlign w:val="center"/>
          </w:tcPr>
          <w:p w:rsidR="00A20DCD" w:rsidRDefault="005913AE">
            <w:pPr>
              <w:spacing w:after="0"/>
              <w:rPr>
                <w:rFonts w:hint="eastAsia"/>
              </w:rPr>
            </w:pPr>
            <w:r>
              <w:rPr>
                <w:sz w:val="17"/>
              </w:rPr>
              <w:t>10</w:t>
            </w:r>
          </w:p>
        </w:tc>
        <w:tc>
          <w:tcPr>
            <w:tcW w:w="4608" w:type="dxa"/>
            <w:shd w:val="clear" w:color="auto" w:fill="F0F4F8"/>
            <w:vAlign w:val="center"/>
          </w:tcPr>
          <w:p w:rsidR="00A20DCD" w:rsidRDefault="005913AE">
            <w:pPr>
              <w:spacing w:after="0"/>
              <w:rPr>
                <w:rFonts w:hint="eastAsia"/>
              </w:rPr>
            </w:pPr>
            <w:r>
              <w:rPr>
                <w:sz w:val="17"/>
              </w:rPr>
              <w:t>SeniorCitizen</w:t>
            </w:r>
          </w:p>
        </w:tc>
        <w:tc>
          <w:tcPr>
            <w:tcW w:w="2592" w:type="dxa"/>
            <w:shd w:val="clear" w:color="auto" w:fill="F0F4F8"/>
            <w:vAlign w:val="center"/>
          </w:tcPr>
          <w:p w:rsidR="00A20DCD" w:rsidRDefault="005913AE">
            <w:pPr>
              <w:spacing w:after="0"/>
              <w:rPr>
                <w:rFonts w:hint="eastAsia"/>
              </w:rPr>
            </w:pPr>
            <w:r>
              <w:rPr>
                <w:sz w:val="17"/>
              </w:rPr>
              <w:t>0.0019</w:t>
            </w:r>
          </w:p>
        </w:tc>
      </w:tr>
    </w:tbl>
    <w:p w:rsidR="00A20DCD" w:rsidRDefault="00A20DCD">
      <w:pPr>
        <w:spacing w:after="20"/>
        <w:rPr>
          <w:rFonts w:hint="eastAsia"/>
        </w:rPr>
      </w:pPr>
    </w:p>
    <w:p w:rsidR="00A20DCD" w:rsidRDefault="005913AE">
      <w:r>
        <w:t>Tenure and contract type were the two leading features. The ranking is specific to</w:t>
      </w:r>
      <w:r>
        <w:t xml:space="preserve"> this fitted model and validation dataset. Importance values close to zero or negative should be interpreted cautiously, especially when predictors contain overlapping information.</w:t>
      </w:r>
    </w:p>
    <w:p w:rsidR="0047735C" w:rsidRDefault="0047735C"/>
    <w:p w:rsidR="0047735C" w:rsidRDefault="0047735C"/>
    <w:p w:rsidR="0047735C" w:rsidRDefault="0047735C">
      <w:pPr>
        <w:rPr>
          <w:rFonts w:hint="eastAsia"/>
        </w:rPr>
      </w:pPr>
    </w:p>
    <w:p w:rsidR="00A20DCD" w:rsidRPr="007935D5" w:rsidRDefault="005913AE" w:rsidP="007935D5">
      <w:pPr>
        <w:rPr>
          <w:rFonts w:asciiTheme="majorHAnsi" w:hAnsiTheme="majorHAnsi" w:cstheme="majorHAnsi"/>
          <w:color w:val="1F497D" w:themeColor="text2"/>
          <w:sz w:val="28"/>
        </w:rPr>
      </w:pPr>
      <w:r w:rsidRPr="007935D5">
        <w:rPr>
          <w:rFonts w:asciiTheme="majorHAnsi" w:hAnsiTheme="majorHAnsi" w:cstheme="majorHAnsi"/>
          <w:color w:val="1F497D" w:themeColor="text2"/>
          <w:sz w:val="28"/>
        </w:rPr>
        <w:t>7. Conclusion and Future Scope</w:t>
      </w:r>
    </w:p>
    <w:p w:rsidR="00A20DCD" w:rsidRDefault="005913AE">
      <w:pPr>
        <w:pStyle w:val="Heading2"/>
      </w:pPr>
      <w:r>
        <w:t>7.1 Conclusion</w:t>
      </w:r>
    </w:p>
    <w:p w:rsidR="00A20DCD" w:rsidRDefault="005913AE">
      <w:pPr>
        <w:rPr>
          <w:rFonts w:hint="eastAsia"/>
        </w:rPr>
      </w:pPr>
      <w:r>
        <w:t xml:space="preserve">This project applied </w:t>
      </w:r>
      <w:r>
        <w:t>exploratory data analysis, statistical analysis, visualization, preprocessing and Deep Learning to a real-world Telco Customer Churn dataset. Of 7,043 customers, 1,869 (26.54%) had churned. The observed churn rate was highest for month-to-month contracts (</w:t>
      </w:r>
      <w:r>
        <w:t>42.71%) and lowest for two-year contracts (2.83%). Churned customers had a lower mean tenure (17.98 months compared with 37.57 months for retained customers) and higher mean monthly charges (74.44 compared with 61.27).</w:t>
      </w:r>
    </w:p>
    <w:p w:rsidR="00A20DCD" w:rsidRDefault="005913AE">
      <w:pPr>
        <w:rPr>
          <w:rFonts w:hint="eastAsia"/>
        </w:rPr>
      </w:pPr>
      <w:r>
        <w:t>The selected MLP model achieved 79.94</w:t>
      </w:r>
      <w:r>
        <w:t>% test accuracy and a test ROC-AUC of 0.8412. However, churn recall was 49.82%, and the model missed 141 of the 281 churned customers in the test set. Permutation importance ranked tenure and contract type as the most influential features. The project demo</w:t>
      </w:r>
      <w:r>
        <w:t>nstrates how EDA and a Deep Learning model can surface useful patterns, while also showing that accuracy alone is not sufficient to judge a churn model.</w:t>
      </w:r>
    </w:p>
    <w:p w:rsidR="00A20DCD" w:rsidRDefault="005913AE">
      <w:pPr>
        <w:pStyle w:val="Heading2"/>
      </w:pPr>
      <w:r>
        <w:t>7.2 Challenges and Limitations</w:t>
      </w:r>
    </w:p>
    <w:p w:rsidR="00A20DCD" w:rsidRDefault="005913AE">
      <w:pPr>
        <w:pStyle w:val="ListBullet"/>
        <w:spacing w:after="40"/>
        <w:rPr>
          <w:rFonts w:hint="eastAsia"/>
        </w:rPr>
      </w:pPr>
      <w:r>
        <w:t>The target classes are imbalanced: 73.46% stayed and 26.54% churned.</w:t>
      </w:r>
    </w:p>
    <w:p w:rsidR="00A20DCD" w:rsidRDefault="005913AE">
      <w:pPr>
        <w:pStyle w:val="ListBullet"/>
        <w:spacing w:after="40"/>
        <w:rPr>
          <w:rFonts w:hint="eastAsia"/>
        </w:rPr>
      </w:pPr>
      <w:r>
        <w:t xml:space="preserve">At </w:t>
      </w:r>
      <w:r>
        <w:t>the default 0.50 threshold, recall for the churn class was below 50%, leaving many churned customers undetected.</w:t>
      </w:r>
    </w:p>
    <w:p w:rsidR="00A20DCD" w:rsidRDefault="005913AE">
      <w:pPr>
        <w:pStyle w:val="ListBullet"/>
        <w:spacing w:after="40"/>
        <w:rPr>
          <w:rFonts w:hint="eastAsia"/>
        </w:rPr>
      </w:pPr>
      <w:r>
        <w:t>The dataset represents a particular business context and may not generalize to other telecom companies or later periods.</w:t>
      </w:r>
    </w:p>
    <w:p w:rsidR="00A20DCD" w:rsidRDefault="005913AE">
      <w:pPr>
        <w:pStyle w:val="ListBullet"/>
        <w:spacing w:after="40"/>
        <w:rPr>
          <w:rFonts w:hint="eastAsia"/>
        </w:rPr>
      </w:pPr>
      <w:r>
        <w:t>EDA associations and p</w:t>
      </w:r>
      <w:r>
        <w:t>ermutation importance do not establish causation.</w:t>
      </w:r>
    </w:p>
    <w:p w:rsidR="00A20DCD" w:rsidRDefault="005913AE">
      <w:pPr>
        <w:pStyle w:val="ListBullet"/>
        <w:spacing w:after="40"/>
        <w:rPr>
          <w:rFonts w:hint="eastAsia"/>
        </w:rPr>
      </w:pPr>
      <w:r>
        <w:t>Correlated features can share predictive information and reduce individual permutation importance values.</w:t>
      </w:r>
    </w:p>
    <w:p w:rsidR="00A20DCD" w:rsidRDefault="005913AE">
      <w:pPr>
        <w:pStyle w:val="Heading2"/>
      </w:pPr>
      <w:r>
        <w:t>7.3 Future Scope</w:t>
      </w:r>
    </w:p>
    <w:p w:rsidR="00A20DCD" w:rsidRDefault="005913AE">
      <w:pPr>
        <w:pStyle w:val="ListBullet"/>
        <w:spacing w:after="40"/>
        <w:rPr>
          <w:rFonts w:hint="eastAsia"/>
        </w:rPr>
      </w:pPr>
      <w:r>
        <w:t>Choose a decision threshold using validation data to better balance churn recall an</w:t>
      </w:r>
      <w:r>
        <w:t>d false-positive rate.</w:t>
      </w:r>
    </w:p>
    <w:p w:rsidR="00A20DCD" w:rsidRDefault="005913AE">
      <w:pPr>
        <w:pStyle w:val="ListBullet"/>
        <w:spacing w:after="40"/>
        <w:rPr>
          <w:rFonts w:hint="eastAsia"/>
        </w:rPr>
      </w:pPr>
      <w:r>
        <w:t>Experiment with class weighting or resampling methods to improve detection of the minority churn class.</w:t>
      </w:r>
    </w:p>
    <w:p w:rsidR="00A20DCD" w:rsidRDefault="005913AE">
      <w:pPr>
        <w:pStyle w:val="ListBullet"/>
        <w:spacing w:after="40"/>
        <w:rPr>
          <w:rFonts w:hint="eastAsia"/>
        </w:rPr>
      </w:pPr>
      <w:r>
        <w:t>Compare the MLP against logistic regression, random forest, and gradient-boosted tree baselines.</w:t>
      </w:r>
    </w:p>
    <w:p w:rsidR="00A20DCD" w:rsidRDefault="005913AE">
      <w:pPr>
        <w:pStyle w:val="ListBullet"/>
        <w:spacing w:after="40"/>
        <w:rPr>
          <w:rFonts w:hint="eastAsia"/>
        </w:rPr>
      </w:pPr>
      <w:r>
        <w:t>Tune architecture, learning rate</w:t>
      </w:r>
      <w:r>
        <w:t>, dropout and training settings using a structured validation procedure.</w:t>
      </w:r>
    </w:p>
    <w:p w:rsidR="00A20DCD" w:rsidRDefault="005913AE">
      <w:pPr>
        <w:pStyle w:val="ListBullet"/>
        <w:spacing w:after="40"/>
        <w:rPr>
          <w:rFonts w:hint="eastAsia"/>
        </w:rPr>
      </w:pPr>
      <w:r>
        <w:t>Collect newer and additional customer data and validate the selected approach on an independent time period.</w:t>
      </w:r>
    </w:p>
    <w:p w:rsidR="00A20DCD" w:rsidRDefault="005913AE">
      <w:pPr>
        <w:pStyle w:val="Heading1"/>
      </w:pPr>
      <w:r>
        <w:t>8. Literature Review</w:t>
      </w:r>
    </w:p>
    <w:p w:rsidR="00A20DCD" w:rsidRDefault="005913AE">
      <w:pPr>
        <w:rPr>
          <w:rFonts w:hint="eastAsia"/>
        </w:rPr>
      </w:pPr>
      <w:r>
        <w:t>The selected Kaggle dataset is designed for customer-</w:t>
      </w:r>
      <w:r>
        <w:t>retention analysis and provides demographic, service, account, contract, and billing attributes together with the Churn target [1]. These fields allow both univariate and multivariate exploration and make the dataset suitable for a binary-classification ca</w:t>
      </w:r>
      <w:r>
        <w:t>se study.</w:t>
      </w:r>
    </w:p>
    <w:p w:rsidR="00A20DCD" w:rsidRDefault="005913AE">
      <w:pPr>
        <w:rPr>
          <w:rFonts w:hint="eastAsia"/>
        </w:rPr>
      </w:pPr>
      <w:r>
        <w:t>Fry’s visualization workflow describes stages from acquiring and parsing data through filtering, mining, representing, refining, and interacting with the result [2]. The project mapped these stages to data acquisition, Pandas inspection, data cle</w:t>
      </w:r>
      <w:r>
        <w:t>aning, statistical calculations, chart selection and refinement, and a Plotly interactive visualization.</w:t>
      </w:r>
    </w:p>
    <w:p w:rsidR="00A20DCD" w:rsidRDefault="005913AE">
      <w:pPr>
        <w:rPr>
          <w:rFonts w:hint="eastAsia"/>
        </w:rPr>
      </w:pPr>
      <w:r>
        <w:t>The MLP was implemented with the TensorFlow/Keras Sequential API, which organizes layers into a linear stack [3]. Model configurations were compared us</w:t>
      </w:r>
      <w:r>
        <w:t>ing validation data, and the final model was assessed with standard classification metrics and ROC-AUC [5]. Permutation importance was used to estimate the change in validation ROC-AUC after shuffling individual features; this method measures model relianc</w:t>
      </w:r>
      <w:r>
        <w:t>e rather than causal influence [4].</w:t>
      </w:r>
    </w:p>
    <w:p w:rsidR="00A20DCD" w:rsidRDefault="005913AE">
      <w:pPr>
        <w:pStyle w:val="Heading1"/>
      </w:pPr>
      <w:r>
        <w:t>9. References</w:t>
      </w:r>
    </w:p>
    <w:p w:rsidR="00A20DCD" w:rsidRDefault="005913AE">
      <w:pPr>
        <w:pStyle w:val="ListNumber"/>
        <w:spacing w:after="100"/>
        <w:rPr>
          <w:rFonts w:hint="eastAsia"/>
        </w:rPr>
      </w:pPr>
      <w:r>
        <w:t>BlastChar. (n.d.). Telco Customer Churn [Data set]. Kaggle. https://www.kaggle.com/datasets/blastchar/telco-customer-churn</w:t>
      </w:r>
    </w:p>
    <w:p w:rsidR="00A20DCD" w:rsidRDefault="005913AE">
      <w:pPr>
        <w:pStyle w:val="ListNumber"/>
        <w:spacing w:after="100"/>
        <w:rPr>
          <w:rFonts w:hint="eastAsia"/>
        </w:rPr>
      </w:pPr>
      <w:r>
        <w:t>Fry, B. (2008). Visualizing Data: Exploring and Explaining Data with the Processing</w:t>
      </w:r>
      <w:r>
        <w:t xml:space="preserve"> Environment. O’Reilly Media. https://www.oreilly.com/library/view/visualizing-data/9780596514556/ch01.html</w:t>
      </w:r>
    </w:p>
    <w:p w:rsidR="00A20DCD" w:rsidRDefault="005913AE">
      <w:pPr>
        <w:pStyle w:val="ListNumber"/>
        <w:spacing w:after="100"/>
        <w:rPr>
          <w:rFonts w:hint="eastAsia"/>
        </w:rPr>
      </w:pPr>
      <w:r>
        <w:t>TensorFlow. (n.d.). tf.keras.Sequential. TensorFlow API documentation. https://www.tensorflow.org/api_docs/python/tf/keras/Sequential</w:t>
      </w:r>
    </w:p>
    <w:p w:rsidR="00A20DCD" w:rsidRDefault="005913AE">
      <w:pPr>
        <w:pStyle w:val="ListNumber"/>
        <w:spacing w:after="100"/>
        <w:rPr>
          <w:rFonts w:hint="eastAsia"/>
        </w:rPr>
      </w:pPr>
      <w:r>
        <w:t>scikit-learn d</w:t>
      </w:r>
      <w:r>
        <w:t>evelopers. (n.d.). Permutation feature importance. scikit-learn documentation. https://scikit-learn.org/stable/modules/permutation_importance.html</w:t>
      </w:r>
    </w:p>
    <w:p w:rsidR="00A20DCD" w:rsidRDefault="005913AE">
      <w:pPr>
        <w:pStyle w:val="ListNumber"/>
        <w:spacing w:after="100"/>
        <w:rPr>
          <w:rFonts w:hint="eastAsia"/>
        </w:rPr>
      </w:pPr>
      <w:r>
        <w:t>scikit-learn developers. (n.d.). roc_auc_score. scikit-learn documentation. https://scikit-learn.org/stable/m</w:t>
      </w:r>
      <w:r>
        <w:t>odules/generated/sklearn.metrics.roc_auc_score.html</w:t>
      </w:r>
    </w:p>
    <w:p w:rsidR="00A20DCD" w:rsidRDefault="005913AE">
      <w:pPr>
        <w:pStyle w:val="Heading1"/>
      </w:pPr>
      <w:r>
        <w:t>Appendix A. Code Section and Reproducibility</w:t>
      </w:r>
    </w:p>
    <w:p w:rsidR="00A20DCD" w:rsidRDefault="005913AE">
      <w:pPr>
        <w:rPr>
          <w:rFonts w:hint="eastAsia"/>
        </w:rPr>
      </w:pPr>
      <w:r>
        <w:t>The complete, commented Python code is provided in the accompanying EDA_Telco_Customer_Churn.ipynb notebook. The notebook includes data loading, inspection, cl</w:t>
      </w:r>
      <w:r>
        <w:t>eaning, EDA charts, preprocessing, data splitting, MLP training and comparison, model evaluation, visualizations, and feature-importance analysis. The following excerpt summarizes the central modelling pipeline; the notebook is the authoritative full sourc</w:t>
      </w:r>
      <w:r>
        <w:t>e code.</w:t>
      </w:r>
    </w:p>
    <w:p w:rsidR="00A20DCD" w:rsidRDefault="005913AE">
      <w:pPr>
        <w:shd w:val="clear" w:color="auto" w:fill="F3F6F9"/>
        <w:spacing w:after="0"/>
        <w:ind w:left="259"/>
        <w:rPr>
          <w:rFonts w:hint="eastAsia"/>
        </w:rPr>
      </w:pPr>
      <w:r>
        <w:rPr>
          <w:rFonts w:ascii="Consolas" w:hAnsi="Consolas"/>
          <w:color w:val="233240"/>
          <w:sz w:val="16"/>
        </w:rPr>
        <w:t># Target and predictors</w:t>
      </w:r>
    </w:p>
    <w:p w:rsidR="00A20DCD" w:rsidRDefault="005913AE">
      <w:pPr>
        <w:shd w:val="clear" w:color="auto" w:fill="F3F6F9"/>
        <w:spacing w:after="0"/>
        <w:ind w:left="259"/>
        <w:rPr>
          <w:rFonts w:hint="eastAsia"/>
        </w:rPr>
      </w:pPr>
      <w:r>
        <w:rPr>
          <w:rFonts w:ascii="Consolas" w:hAnsi="Consolas"/>
          <w:color w:val="233240"/>
          <w:sz w:val="16"/>
        </w:rPr>
        <w:t>X = df.drop(columns=["customerID", "Churn"]).copy()</w:t>
      </w:r>
    </w:p>
    <w:p w:rsidR="00A20DCD" w:rsidRDefault="005913AE">
      <w:pPr>
        <w:shd w:val="clear" w:color="auto" w:fill="F3F6F9"/>
        <w:spacing w:after="0"/>
        <w:ind w:left="259"/>
        <w:rPr>
          <w:rFonts w:hint="eastAsia"/>
        </w:rPr>
      </w:pPr>
      <w:r>
        <w:rPr>
          <w:rFonts w:ascii="Consolas" w:hAnsi="Consolas"/>
          <w:color w:val="233240"/>
          <w:sz w:val="16"/>
        </w:rPr>
        <w:t>y = df["Churn"].map({"No": 0, "Yes": 1})</w:t>
      </w:r>
    </w:p>
    <w:p w:rsidR="00A20DCD" w:rsidRDefault="005913AE">
      <w:pPr>
        <w:shd w:val="clear" w:color="auto" w:fill="F3F6F9"/>
        <w:spacing w:after="0"/>
        <w:ind w:left="259"/>
        <w:rPr>
          <w:rFonts w:hint="eastAsia"/>
        </w:rPr>
      </w:pPr>
      <w:r>
        <w:rPr>
          <w:rFonts w:ascii="Consolas" w:hAnsi="Consolas"/>
          <w:color w:val="233240"/>
          <w:sz w:val="16"/>
        </w:rPr>
        <w:t># Stratified 70% / 15% / 15% split</w:t>
      </w:r>
    </w:p>
    <w:p w:rsidR="00A20DCD" w:rsidRDefault="005913AE">
      <w:pPr>
        <w:shd w:val="clear" w:color="auto" w:fill="F3F6F9"/>
        <w:spacing w:after="0"/>
        <w:ind w:left="259"/>
        <w:rPr>
          <w:rFonts w:hint="eastAsia"/>
        </w:rPr>
      </w:pPr>
      <w:r>
        <w:rPr>
          <w:rFonts w:ascii="Consolas" w:hAnsi="Consolas"/>
          <w:color w:val="233240"/>
          <w:sz w:val="16"/>
        </w:rPr>
        <w:t xml:space="preserve">X_train, X_temp, y_train, y_temp = train_test_split(X, y, test_size=0.30, random_state=42, </w:t>
      </w:r>
      <w:r>
        <w:rPr>
          <w:rFonts w:ascii="Consolas" w:hAnsi="Consolas"/>
          <w:color w:val="233240"/>
          <w:sz w:val="16"/>
        </w:rPr>
        <w:t>stratify=y)</w:t>
      </w:r>
    </w:p>
    <w:p w:rsidR="00A20DCD" w:rsidRDefault="005913AE">
      <w:pPr>
        <w:shd w:val="clear" w:color="auto" w:fill="F3F6F9"/>
        <w:spacing w:after="0"/>
        <w:ind w:left="259"/>
        <w:rPr>
          <w:rFonts w:hint="eastAsia"/>
        </w:rPr>
      </w:pPr>
      <w:r>
        <w:rPr>
          <w:rFonts w:ascii="Consolas" w:hAnsi="Consolas"/>
          <w:color w:val="233240"/>
          <w:sz w:val="16"/>
        </w:rPr>
        <w:t>X_val, X_test, y_val, y_test = train_test_split(X_temp, y_temp, test_size=0.50, random_state=42, stratify=y_temp)</w:t>
      </w:r>
    </w:p>
    <w:p w:rsidR="00A20DCD" w:rsidRDefault="005913AE">
      <w:pPr>
        <w:shd w:val="clear" w:color="auto" w:fill="F3F6F9"/>
        <w:spacing w:after="0"/>
        <w:ind w:left="259"/>
        <w:rPr>
          <w:rFonts w:hint="eastAsia"/>
        </w:rPr>
      </w:pPr>
      <w:r>
        <w:rPr>
          <w:rFonts w:ascii="Consolas" w:hAnsi="Consolas"/>
          <w:color w:val="233240"/>
          <w:sz w:val="16"/>
        </w:rPr>
        <w:t># Fit preprocessing on training only; transform validation and test</w:t>
      </w:r>
    </w:p>
    <w:p w:rsidR="00A20DCD" w:rsidRDefault="005913AE">
      <w:pPr>
        <w:shd w:val="clear" w:color="auto" w:fill="F3F6F9"/>
        <w:spacing w:after="0"/>
        <w:ind w:left="259"/>
        <w:rPr>
          <w:rFonts w:hint="eastAsia"/>
        </w:rPr>
      </w:pPr>
      <w:r>
        <w:rPr>
          <w:rFonts w:ascii="Consolas" w:hAnsi="Consolas"/>
          <w:color w:val="233240"/>
          <w:sz w:val="16"/>
        </w:rPr>
        <w:t>X_train_processed = preprocessor.fit_transform(X_train)</w:t>
      </w:r>
    </w:p>
    <w:p w:rsidR="00A20DCD" w:rsidRDefault="005913AE">
      <w:pPr>
        <w:shd w:val="clear" w:color="auto" w:fill="F3F6F9"/>
        <w:spacing w:after="0"/>
        <w:ind w:left="259"/>
        <w:rPr>
          <w:rFonts w:hint="eastAsia"/>
        </w:rPr>
      </w:pPr>
      <w:r>
        <w:rPr>
          <w:rFonts w:ascii="Consolas" w:hAnsi="Consolas"/>
          <w:color w:val="233240"/>
          <w:sz w:val="16"/>
        </w:rPr>
        <w:t>X_val_</w:t>
      </w:r>
      <w:r>
        <w:rPr>
          <w:rFonts w:ascii="Consolas" w:hAnsi="Consolas"/>
          <w:color w:val="233240"/>
          <w:sz w:val="16"/>
        </w:rPr>
        <w:t>processed = preprocessor.transform(X_val)</w:t>
      </w:r>
    </w:p>
    <w:p w:rsidR="00A20DCD" w:rsidRDefault="005913AE">
      <w:pPr>
        <w:shd w:val="clear" w:color="auto" w:fill="F3F6F9"/>
        <w:spacing w:after="0"/>
        <w:ind w:left="259"/>
        <w:rPr>
          <w:rFonts w:hint="eastAsia"/>
        </w:rPr>
      </w:pPr>
      <w:r>
        <w:rPr>
          <w:rFonts w:ascii="Consolas" w:hAnsi="Consolas"/>
          <w:color w:val="233240"/>
          <w:sz w:val="16"/>
        </w:rPr>
        <w:t>X_test_processed = preprocessor.transform(X_test)</w:t>
      </w:r>
    </w:p>
    <w:p w:rsidR="00A20DCD" w:rsidRDefault="005913AE">
      <w:pPr>
        <w:shd w:val="clear" w:color="auto" w:fill="F3F6F9"/>
        <w:spacing w:after="0"/>
        <w:ind w:left="259"/>
        <w:rPr>
          <w:rFonts w:hint="eastAsia"/>
        </w:rPr>
      </w:pPr>
      <w:r>
        <w:rPr>
          <w:rFonts w:ascii="Consolas" w:hAnsi="Consolas"/>
          <w:color w:val="233240"/>
          <w:sz w:val="16"/>
        </w:rPr>
        <w:t># Selected Model B: MLP with 32 and 16 hidden units</w:t>
      </w:r>
    </w:p>
    <w:p w:rsidR="00A20DCD" w:rsidRDefault="005913AE">
      <w:pPr>
        <w:shd w:val="clear" w:color="auto" w:fill="F3F6F9"/>
        <w:spacing w:after="0"/>
        <w:ind w:left="259"/>
        <w:rPr>
          <w:rFonts w:hint="eastAsia"/>
        </w:rPr>
      </w:pPr>
      <w:r>
        <w:rPr>
          <w:rFonts w:ascii="Consolas" w:hAnsi="Consolas"/>
          <w:color w:val="233240"/>
          <w:sz w:val="16"/>
        </w:rPr>
        <w:t>model = keras.Sequential([</w:t>
      </w:r>
    </w:p>
    <w:p w:rsidR="00A20DCD" w:rsidRDefault="005913AE">
      <w:pPr>
        <w:shd w:val="clear" w:color="auto" w:fill="F3F6F9"/>
        <w:spacing w:after="0"/>
        <w:ind w:left="259"/>
        <w:rPr>
          <w:rFonts w:hint="eastAsia"/>
        </w:rPr>
      </w:pPr>
      <w:r>
        <w:rPr>
          <w:rFonts w:ascii="Consolas" w:hAnsi="Consolas"/>
          <w:color w:val="233240"/>
          <w:sz w:val="16"/>
        </w:rPr>
        <w:t xml:space="preserve">    keras.Input(shape=(X_train_processed.shape[1],)),</w:t>
      </w:r>
    </w:p>
    <w:p w:rsidR="00A20DCD" w:rsidRDefault="005913AE">
      <w:pPr>
        <w:shd w:val="clear" w:color="auto" w:fill="F3F6F9"/>
        <w:spacing w:after="0"/>
        <w:ind w:left="259"/>
        <w:rPr>
          <w:rFonts w:hint="eastAsia"/>
        </w:rPr>
      </w:pPr>
      <w:r>
        <w:rPr>
          <w:rFonts w:ascii="Consolas" w:hAnsi="Consolas"/>
          <w:color w:val="233240"/>
          <w:sz w:val="16"/>
        </w:rPr>
        <w:t xml:space="preserve">    keras.layers.Dense(32, acti</w:t>
      </w:r>
      <w:r>
        <w:rPr>
          <w:rFonts w:ascii="Consolas" w:hAnsi="Consolas"/>
          <w:color w:val="233240"/>
          <w:sz w:val="16"/>
        </w:rPr>
        <w:t>vation="relu"),</w:t>
      </w:r>
    </w:p>
    <w:p w:rsidR="00A20DCD" w:rsidRDefault="005913AE">
      <w:pPr>
        <w:shd w:val="clear" w:color="auto" w:fill="F3F6F9"/>
        <w:spacing w:after="0"/>
        <w:ind w:left="259"/>
        <w:rPr>
          <w:rFonts w:hint="eastAsia"/>
        </w:rPr>
      </w:pPr>
      <w:r>
        <w:rPr>
          <w:rFonts w:ascii="Consolas" w:hAnsi="Consolas"/>
          <w:color w:val="233240"/>
          <w:sz w:val="16"/>
        </w:rPr>
        <w:t xml:space="preserve">    keras.layers.Dropout(0.30),</w:t>
      </w:r>
    </w:p>
    <w:p w:rsidR="00A20DCD" w:rsidRDefault="005913AE">
      <w:pPr>
        <w:shd w:val="clear" w:color="auto" w:fill="F3F6F9"/>
        <w:spacing w:after="0"/>
        <w:ind w:left="259"/>
        <w:rPr>
          <w:rFonts w:hint="eastAsia"/>
        </w:rPr>
      </w:pPr>
      <w:r>
        <w:rPr>
          <w:rFonts w:ascii="Consolas" w:hAnsi="Consolas"/>
          <w:color w:val="233240"/>
          <w:sz w:val="16"/>
        </w:rPr>
        <w:t xml:space="preserve">    keras.layers.Dense(16, activation="relu"),</w:t>
      </w:r>
    </w:p>
    <w:p w:rsidR="00A20DCD" w:rsidRDefault="005913AE">
      <w:pPr>
        <w:shd w:val="clear" w:color="auto" w:fill="F3F6F9"/>
        <w:spacing w:after="0"/>
        <w:ind w:left="259"/>
        <w:rPr>
          <w:rFonts w:hint="eastAsia"/>
        </w:rPr>
      </w:pPr>
      <w:r>
        <w:rPr>
          <w:rFonts w:ascii="Consolas" w:hAnsi="Consolas"/>
          <w:color w:val="233240"/>
          <w:sz w:val="16"/>
        </w:rPr>
        <w:t xml:space="preserve">    keras.layers.Dropout(0.30),</w:t>
      </w:r>
    </w:p>
    <w:p w:rsidR="00A20DCD" w:rsidRDefault="005913AE">
      <w:pPr>
        <w:shd w:val="clear" w:color="auto" w:fill="F3F6F9"/>
        <w:spacing w:after="0"/>
        <w:ind w:left="259"/>
        <w:rPr>
          <w:rFonts w:hint="eastAsia"/>
        </w:rPr>
      </w:pPr>
      <w:r>
        <w:rPr>
          <w:rFonts w:ascii="Consolas" w:hAnsi="Consolas"/>
          <w:color w:val="233240"/>
          <w:sz w:val="16"/>
        </w:rPr>
        <w:t xml:space="preserve">    keras.layers.Dense(1, activation="sigmoid")])</w:t>
      </w:r>
    </w:p>
    <w:p w:rsidR="00A20DCD" w:rsidRDefault="005913AE">
      <w:pPr>
        <w:shd w:val="clear" w:color="auto" w:fill="F3F6F9"/>
        <w:spacing w:after="0"/>
        <w:ind w:left="259"/>
        <w:rPr>
          <w:rFonts w:hint="eastAsia"/>
        </w:rPr>
      </w:pPr>
      <w:r>
        <w:rPr>
          <w:rFonts w:ascii="Consolas" w:hAnsi="Consolas"/>
          <w:color w:val="233240"/>
          <w:sz w:val="16"/>
        </w:rPr>
        <w:t>model.compile(optimizer=keras.optimizers.Adam(learning_rate=0.0005), loss="bina</w:t>
      </w:r>
      <w:r>
        <w:rPr>
          <w:rFonts w:ascii="Consolas" w:hAnsi="Consolas"/>
          <w:color w:val="233240"/>
          <w:sz w:val="16"/>
        </w:rPr>
        <w:t>ry_crossentropy", metrics=["accuracy", keras.metrics.AUC(name="auc")])</w:t>
      </w:r>
    </w:p>
    <w:p w:rsidR="00A20DCD" w:rsidRDefault="005913AE">
      <w:pPr>
        <w:shd w:val="clear" w:color="auto" w:fill="F3F6F9"/>
        <w:spacing w:after="0"/>
        <w:ind w:left="259"/>
        <w:rPr>
          <w:rFonts w:hint="eastAsia"/>
        </w:rPr>
      </w:pPr>
      <w:r>
        <w:rPr>
          <w:rFonts w:ascii="Consolas" w:hAnsi="Consolas"/>
          <w:color w:val="233240"/>
          <w:sz w:val="16"/>
        </w:rPr>
        <w:t># Model was trained with validation monitoring and EarlyStopping.</w:t>
      </w:r>
    </w:p>
    <w:sectPr w:rsidR="00A20DCD" w:rsidSect="007935D5">
      <w:headerReference w:type="default" r:id="rId20"/>
      <w:footerReference w:type="default" r:id="rId2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913AE" w:rsidRDefault="005913AE" w:rsidP="00A20DCD">
      <w:pPr>
        <w:spacing w:after="0" w:line="240" w:lineRule="auto"/>
      </w:pPr>
      <w:r>
        <w:separator/>
      </w:r>
    </w:p>
  </w:endnote>
  <w:endnote w:type="continuationSeparator" w:id="1">
    <w:p w:rsidR="005913AE" w:rsidRDefault="005913AE" w:rsidP="00A20DC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ptos Display">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0DCD" w:rsidRDefault="005913AE">
    <w:pPr>
      <w:pStyle w:val="Footer"/>
      <w:jc w:val="center"/>
      <w:rPr>
        <w:rFonts w:hint="eastAsia"/>
      </w:rPr>
    </w:pPr>
    <w:r>
      <w:rPr>
        <w:color w:val="646E78"/>
        <w:sz w:val="16"/>
      </w:rPr>
      <w:t xml:space="preserve">Telco Customer Churn Case Study  •  Page </w:t>
    </w:r>
    <w:fldSimple w:instr="PAGE">
      <w:r>
        <w:rPr>
          <w:rFonts w:hint="eastAsia"/>
          <w:noProof/>
        </w:rPr>
        <w:t>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913AE" w:rsidRDefault="005913AE" w:rsidP="00A20DCD">
      <w:pPr>
        <w:spacing w:after="0" w:line="240" w:lineRule="auto"/>
      </w:pPr>
      <w:r>
        <w:separator/>
      </w:r>
    </w:p>
  </w:footnote>
  <w:footnote w:type="continuationSeparator" w:id="1">
    <w:p w:rsidR="005913AE" w:rsidRDefault="005913AE" w:rsidP="00A20DC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0DCD" w:rsidRDefault="005913AE">
    <w:pPr>
      <w:pStyle w:val="Header"/>
      <w:jc w:val="right"/>
      <w:rPr>
        <w:rFonts w:hint="eastAsia"/>
      </w:rPr>
    </w:pPr>
    <w:r>
      <w:rPr>
        <w:b/>
        <w:color w:val="646E78"/>
        <w:sz w:val="16"/>
      </w:rPr>
      <w:t>EDA AND VISUALIZATION | ASSIGNMENT II</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drawingGridHorizontalSpacing w:val="100"/>
  <w:displayHorizontalDrawingGridEvery w:val="2"/>
  <w:characterSpacingControl w:val="doNotCompress"/>
  <w:savePreviewPicture/>
  <w:footnotePr>
    <w:footnote w:id="0"/>
    <w:footnote w:id="1"/>
  </w:footnotePr>
  <w:endnotePr>
    <w:endnote w:id="0"/>
    <w:endnote w:id="1"/>
  </w:endnotePr>
  <w:compat>
    <w:useFELayout/>
  </w:compat>
  <w:rsids>
    <w:rsidRoot w:val="00B47730"/>
    <w:rsid w:val="00034616"/>
    <w:rsid w:val="0006063C"/>
    <w:rsid w:val="0015074B"/>
    <w:rsid w:val="0029639D"/>
    <w:rsid w:val="002E672B"/>
    <w:rsid w:val="00326F90"/>
    <w:rsid w:val="00394A60"/>
    <w:rsid w:val="0047735C"/>
    <w:rsid w:val="005316B4"/>
    <w:rsid w:val="005913AE"/>
    <w:rsid w:val="007935D5"/>
    <w:rsid w:val="00A20DCD"/>
    <w:rsid w:val="00AA1D8D"/>
    <w:rsid w:val="00B47730"/>
    <w:rsid w:val="00CB0664"/>
    <w:rsid w:val="00E41F0F"/>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8303A"/>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05A6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E67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672B"/>
    <w:rPr>
      <w:rFonts w:ascii="Tahoma" w:hAnsi="Tahoma" w:cs="Tahoma"/>
      <w:color w:val="28303A"/>
      <w:sz w:val="16"/>
      <w:szCs w:val="16"/>
    </w:rPr>
  </w:style>
  <w:style w:type="paragraph" w:styleId="HTMLPreformatted">
    <w:name w:val="HTML Preformatted"/>
    <w:basedOn w:val="Normal"/>
    <w:link w:val="HTMLPreformattedChar"/>
    <w:uiPriority w:val="99"/>
    <w:semiHidden/>
    <w:unhideWhenUsed/>
    <w:rsid w:val="002E6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Cs w:val="20"/>
    </w:rPr>
  </w:style>
  <w:style w:type="character" w:customStyle="1" w:styleId="HTMLPreformattedChar">
    <w:name w:val="HTML Preformatted Char"/>
    <w:basedOn w:val="DefaultParagraphFont"/>
    <w:link w:val="HTMLPreformatted"/>
    <w:uiPriority w:val="99"/>
    <w:semiHidden/>
    <w:rsid w:val="002E672B"/>
    <w:rPr>
      <w:rFonts w:ascii="Courier New" w:eastAsia="Times New Roman" w:hAnsi="Courier New" w:cs="Courier New"/>
      <w:sz w:val="20"/>
      <w:szCs w:val="20"/>
    </w:rPr>
  </w:style>
  <w:style w:type="character" w:customStyle="1" w:styleId="display-count">
    <w:name w:val="display-count"/>
    <w:basedOn w:val="DefaultParagraphFont"/>
    <w:rsid w:val="002E672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1210874671">
      <w:bodyDiv w:val="1"/>
      <w:marLeft w:val="0"/>
      <w:marRight w:val="0"/>
      <w:marTop w:val="0"/>
      <w:marBottom w:val="0"/>
      <w:divBdr>
        <w:top w:val="none" w:sz="0" w:space="0" w:color="auto"/>
        <w:left w:val="none" w:sz="0" w:space="0" w:color="auto"/>
        <w:bottom w:val="none" w:sz="0" w:space="0" w:color="auto"/>
        <w:right w:val="none" w:sz="0" w:space="0" w:color="auto"/>
      </w:divBdr>
      <w:divsChild>
        <w:div w:id="1515342261">
          <w:marLeft w:val="0"/>
          <w:marRight w:val="0"/>
          <w:marTop w:val="0"/>
          <w:marBottom w:val="0"/>
          <w:divBdr>
            <w:top w:val="none" w:sz="0" w:space="0" w:color="auto"/>
            <w:left w:val="none" w:sz="0" w:space="0" w:color="auto"/>
            <w:bottom w:val="none" w:sz="0" w:space="0" w:color="auto"/>
            <w:right w:val="none" w:sz="0" w:space="0" w:color="auto"/>
          </w:divBdr>
          <w:divsChild>
            <w:div w:id="1122728103">
              <w:marLeft w:val="0"/>
              <w:marRight w:val="0"/>
              <w:marTop w:val="0"/>
              <w:marBottom w:val="0"/>
              <w:divBdr>
                <w:top w:val="none" w:sz="0" w:space="0" w:color="auto"/>
                <w:left w:val="none" w:sz="0" w:space="0" w:color="auto"/>
                <w:bottom w:val="none" w:sz="0" w:space="0" w:color="auto"/>
                <w:right w:val="none" w:sz="0" w:space="0" w:color="auto"/>
              </w:divBdr>
            </w:div>
          </w:divsChild>
        </w:div>
        <w:div w:id="490608814">
          <w:marLeft w:val="0"/>
          <w:marRight w:val="0"/>
          <w:marTop w:val="0"/>
          <w:marBottom w:val="0"/>
          <w:divBdr>
            <w:top w:val="none" w:sz="0" w:space="0" w:color="auto"/>
            <w:left w:val="none" w:sz="0" w:space="0" w:color="auto"/>
            <w:bottom w:val="none" w:sz="0" w:space="0" w:color="auto"/>
            <w:right w:val="none" w:sz="0" w:space="0" w:color="auto"/>
          </w:divBdr>
          <w:divsChild>
            <w:div w:id="1753505612">
              <w:marLeft w:val="0"/>
              <w:marRight w:val="0"/>
              <w:marTop w:val="0"/>
              <w:marBottom w:val="0"/>
              <w:divBdr>
                <w:top w:val="none" w:sz="0" w:space="0" w:color="auto"/>
                <w:left w:val="none" w:sz="0" w:space="0" w:color="auto"/>
                <w:bottom w:val="none" w:sz="0" w:space="0" w:color="auto"/>
                <w:right w:val="none" w:sz="0" w:space="0" w:color="auto"/>
              </w:divBdr>
              <w:divsChild>
                <w:div w:id="2138136619">
                  <w:marLeft w:val="0"/>
                  <w:marRight w:val="0"/>
                  <w:marTop w:val="0"/>
                  <w:marBottom w:val="0"/>
                  <w:divBdr>
                    <w:top w:val="none" w:sz="0" w:space="0" w:color="auto"/>
                    <w:left w:val="none" w:sz="0" w:space="0" w:color="auto"/>
                    <w:bottom w:val="none" w:sz="0" w:space="0" w:color="auto"/>
                    <w:right w:val="none" w:sz="0" w:space="0" w:color="auto"/>
                  </w:divBdr>
                  <w:divsChild>
                    <w:div w:id="1494025279">
                      <w:marLeft w:val="0"/>
                      <w:marRight w:val="0"/>
                      <w:marTop w:val="0"/>
                      <w:marBottom w:val="0"/>
                      <w:divBdr>
                        <w:top w:val="none" w:sz="0" w:space="0" w:color="auto"/>
                        <w:left w:val="none" w:sz="0" w:space="0" w:color="auto"/>
                        <w:bottom w:val="none" w:sz="0" w:space="0" w:color="auto"/>
                        <w:right w:val="none" w:sz="0" w:space="0" w:color="auto"/>
                      </w:divBdr>
                      <w:divsChild>
                        <w:div w:id="1017465589">
                          <w:marLeft w:val="0"/>
                          <w:marRight w:val="0"/>
                          <w:marTop w:val="0"/>
                          <w:marBottom w:val="0"/>
                          <w:divBdr>
                            <w:top w:val="none" w:sz="0" w:space="0" w:color="auto"/>
                            <w:left w:val="none" w:sz="0" w:space="0" w:color="auto"/>
                            <w:bottom w:val="none" w:sz="0" w:space="0" w:color="auto"/>
                            <w:right w:val="none" w:sz="0" w:space="0" w:color="auto"/>
                          </w:divBdr>
                        </w:div>
                        <w:div w:id="1472408975">
                          <w:marLeft w:val="0"/>
                          <w:marRight w:val="0"/>
                          <w:marTop w:val="0"/>
                          <w:marBottom w:val="0"/>
                          <w:divBdr>
                            <w:top w:val="none" w:sz="0" w:space="0" w:color="auto"/>
                            <w:left w:val="none" w:sz="0" w:space="0" w:color="auto"/>
                            <w:bottom w:val="none" w:sz="0" w:space="0" w:color="auto"/>
                            <w:right w:val="none" w:sz="0" w:space="0" w:color="auto"/>
                          </w:divBdr>
                          <w:divsChild>
                            <w:div w:id="1084454786">
                              <w:marLeft w:val="0"/>
                              <w:marRight w:val="0"/>
                              <w:marTop w:val="0"/>
                              <w:marBottom w:val="0"/>
                              <w:divBdr>
                                <w:top w:val="none" w:sz="0" w:space="0" w:color="auto"/>
                                <w:left w:val="none" w:sz="0" w:space="0" w:color="auto"/>
                                <w:bottom w:val="none" w:sz="0" w:space="0" w:color="auto"/>
                                <w:right w:val="none" w:sz="0" w:space="0" w:color="auto"/>
                              </w:divBdr>
                              <w:divsChild>
                                <w:div w:id="828256921">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sChild>
        </w:div>
      </w:divsChild>
    </w:div>
    <w:div w:id="1392729391">
      <w:bodyDiv w:val="1"/>
      <w:marLeft w:val="0"/>
      <w:marRight w:val="0"/>
      <w:marTop w:val="0"/>
      <w:marBottom w:val="0"/>
      <w:divBdr>
        <w:top w:val="none" w:sz="0" w:space="0" w:color="auto"/>
        <w:left w:val="none" w:sz="0" w:space="0" w:color="auto"/>
        <w:bottom w:val="none" w:sz="0" w:space="0" w:color="auto"/>
        <w:right w:val="none" w:sz="0" w:space="0" w:color="auto"/>
      </w:divBdr>
      <w:divsChild>
        <w:div w:id="1753231790">
          <w:marLeft w:val="0"/>
          <w:marRight w:val="0"/>
          <w:marTop w:val="0"/>
          <w:marBottom w:val="0"/>
          <w:divBdr>
            <w:top w:val="none" w:sz="0" w:space="0" w:color="auto"/>
            <w:left w:val="none" w:sz="0" w:space="0" w:color="auto"/>
            <w:bottom w:val="none" w:sz="0" w:space="0" w:color="auto"/>
            <w:right w:val="none" w:sz="0" w:space="0" w:color="auto"/>
          </w:divBdr>
          <w:divsChild>
            <w:div w:id="260529371">
              <w:marLeft w:val="0"/>
              <w:marRight w:val="0"/>
              <w:marTop w:val="0"/>
              <w:marBottom w:val="0"/>
              <w:divBdr>
                <w:top w:val="none" w:sz="0" w:space="0" w:color="auto"/>
                <w:left w:val="none" w:sz="0" w:space="0" w:color="auto"/>
                <w:bottom w:val="none" w:sz="0" w:space="0" w:color="auto"/>
                <w:right w:val="none" w:sz="0" w:space="0" w:color="auto"/>
              </w:divBdr>
            </w:div>
          </w:divsChild>
        </w:div>
        <w:div w:id="718089405">
          <w:marLeft w:val="0"/>
          <w:marRight w:val="0"/>
          <w:marTop w:val="0"/>
          <w:marBottom w:val="0"/>
          <w:divBdr>
            <w:top w:val="none" w:sz="0" w:space="0" w:color="auto"/>
            <w:left w:val="none" w:sz="0" w:space="0" w:color="auto"/>
            <w:bottom w:val="none" w:sz="0" w:space="0" w:color="auto"/>
            <w:right w:val="none" w:sz="0" w:space="0" w:color="auto"/>
          </w:divBdr>
          <w:divsChild>
            <w:div w:id="1583947632">
              <w:marLeft w:val="0"/>
              <w:marRight w:val="0"/>
              <w:marTop w:val="0"/>
              <w:marBottom w:val="0"/>
              <w:divBdr>
                <w:top w:val="none" w:sz="0" w:space="0" w:color="auto"/>
                <w:left w:val="none" w:sz="0" w:space="0" w:color="auto"/>
                <w:bottom w:val="none" w:sz="0" w:space="0" w:color="auto"/>
                <w:right w:val="none" w:sz="0" w:space="0" w:color="auto"/>
              </w:divBdr>
              <w:divsChild>
                <w:div w:id="465897455">
                  <w:marLeft w:val="0"/>
                  <w:marRight w:val="0"/>
                  <w:marTop w:val="0"/>
                  <w:marBottom w:val="0"/>
                  <w:divBdr>
                    <w:top w:val="none" w:sz="0" w:space="0" w:color="auto"/>
                    <w:left w:val="none" w:sz="0" w:space="0" w:color="auto"/>
                    <w:bottom w:val="none" w:sz="0" w:space="0" w:color="auto"/>
                    <w:right w:val="none" w:sz="0" w:space="0" w:color="auto"/>
                  </w:divBdr>
                  <w:divsChild>
                    <w:div w:id="4498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07/relationships/stylesWithEffects" Target="stylesWithEffects.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3358</Words>
  <Characters>19141</Characters>
  <Application>Microsoft Office Word</Application>
  <DocSecurity>0</DocSecurity>
  <Lines>159</Lines>
  <Paragraphs>44</Paragraphs>
  <ScaleCrop>false</ScaleCrop>
  <HeadingPairs>
    <vt:vector size="4" baseType="variant">
      <vt:variant>
        <vt:lpstr>Title</vt:lpstr>
      </vt:variant>
      <vt:variant>
        <vt:i4>1</vt:i4>
      </vt:variant>
      <vt:variant>
        <vt:lpstr>Headings</vt:lpstr>
      </vt:variant>
      <vt:variant>
        <vt:i4>40</vt:i4>
      </vt:variant>
    </vt:vector>
  </HeadingPairs>
  <TitlesOfParts>
    <vt:vector size="41" baseType="lpstr">
      <vt:lpstr>Telco Customer Churn Analysis Using EDA and Deep Learning</vt:lpstr>
      <vt:lpstr>Abstract</vt:lpstr>
      <vt:lpstr>Report Organization</vt:lpstr>
      <vt:lpstr>1. Introduction and Objectives</vt:lpstr>
      <vt:lpstr>    1.1 Introduction</vt:lpstr>
      <vt:lpstr>    1.2 Problem Statement</vt:lpstr>
      <vt:lpstr>    1.3 Aim</vt:lpstr>
      <vt:lpstr>    1.4 Objectives</vt:lpstr>
      <vt:lpstr>2. Dataset Description</vt:lpstr>
      <vt:lpstr>    2.1 Main Feature Groups</vt:lpstr>
      <vt:lpstr>3. Data Understanding and Preprocessing</vt:lpstr>
      <vt:lpstr>    3.1 Data Inspection</vt:lpstr>
      <vt:lpstr>    3.2 Missing Values and Type Conversion</vt:lpstr>
      <vt:lpstr>    3.3 Duplicates and Outliers</vt:lpstr>
      <vt:lpstr>    3.4 Feature Encoding, Scaling, and Data Split</vt:lpstr>
      <vt:lpstr>4. Exploratory Data Analysis and Visualization</vt:lpstr>
      <vt:lpstr>    4.1 Churn Distribution</vt:lpstr>
      <vt:lpstr>    4.2 Tenure Distribution</vt:lpstr>
      <vt:lpstr>    4.3 Monthly Charges Distribution</vt:lpstr>
      <vt:lpstr>    4.4 Monthly Charges by Churn Status</vt:lpstr>
      <vt:lpstr>    4.5 Contract Type and Churn Rate</vt:lpstr>
      <vt:lpstr>    4.6 Correlation Heatmap</vt:lpstr>
      <vt:lpstr>    4.7 Tenure versus Monthly Charges</vt:lpstr>
      <vt:lpstr>    4.8 Payment Method and Churn Rate</vt:lpstr>
      <vt:lpstr>    4.9 Descriptive Statistical Summary</vt:lpstr>
      <vt:lpstr>    4.10 Visualization Stages</vt:lpstr>
      <vt:lpstr>5. Deep Learning Model Development</vt:lpstr>
      <vt:lpstr>    5.1 Task and Model Choice</vt:lpstr>
      <vt:lpstr>    5.2 Model Configurations</vt:lpstr>
      <vt:lpstr>    5.3 Hyperparameter Comparison</vt:lpstr>
      <vt:lpstr>    5.4 Training Curves</vt:lpstr>
      <vt:lpstr>6. Model Evaluation and Results</vt:lpstr>
      <vt:lpstr>    6.1 Final Test Metrics</vt:lpstr>
      <vt:lpstr>    6.2 Confusion Matrix</vt:lpstr>
      <vt:lpstr>    6.3 ROC Curve and AUC</vt:lpstr>
      <vt:lpstr>    7.1 Conclusion</vt:lpstr>
      <vt:lpstr>    7.2 Challenges and Limitations</vt:lpstr>
      <vt:lpstr>    7.3 Future Scope</vt:lpstr>
      <vt:lpstr>8. Literature Review</vt:lpstr>
      <vt:lpstr>9. References</vt:lpstr>
      <vt:lpstr>Appendix A. Code Section and Reproducibility</vt:lpstr>
    </vt:vector>
  </TitlesOfParts>
  <Company/>
  <LinksUpToDate>false</LinksUpToDate>
  <CharactersWithSpaces>22455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Telco Customer Churn Analysis Using EDA and Deep Learning</dc:title>
  <dc:subject>EDA and Visualization Assignment II</dc:subject>
  <dc:creator>[Student Name]</dc:creator>
  <cp:keywords>EDA, visualization, customer churn, MLP, Deep Learning</cp:keywords>
  <dc:description>generated by python-docx</dc:description>
  <cp:lastModifiedBy>ASUS</cp:lastModifiedBy>
  <cp:revision>2</cp:revision>
  <dcterms:created xsi:type="dcterms:W3CDTF">2026-10-09T17:39:00Z</dcterms:created>
  <dcterms:modified xsi:type="dcterms:W3CDTF">2026-10-09T17:39:00Z</dcterms:modified>
</cp:coreProperties>
</file>