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B43F" w14:textId="77777777" w:rsidR="0026255A" w:rsidRDefault="00000000">
      <w:pPr>
        <w:spacing w:after="80"/>
        <w:jc w:val="center"/>
      </w:pPr>
      <w:r>
        <w:rPr>
          <w:b/>
          <w:bCs/>
          <w:color w:val="1A1A2E"/>
          <w:sz w:val="32"/>
          <w:szCs w:val="32"/>
        </w:rPr>
        <w:t>DINESH R. PODDATURI, Ph.D.</w:t>
      </w:r>
    </w:p>
    <w:p w14:paraId="48329E64" w14:textId="77777777" w:rsidR="0026255A" w:rsidRDefault="00000000">
      <w:pPr>
        <w:spacing w:after="20"/>
        <w:jc w:val="center"/>
      </w:pPr>
      <w:r>
        <w:rPr>
          <w:color w:val="555555"/>
          <w:sz w:val="18"/>
          <w:szCs w:val="18"/>
        </w:rPr>
        <w:t>Indianapolis, IN — Open to Chicago Relocation  |  dineshreddypoddaturi@gmail.com  |  252-378-0710</w:t>
      </w:r>
    </w:p>
    <w:p w14:paraId="58F3436F" w14:textId="77777777" w:rsidR="0026255A" w:rsidRDefault="00000000">
      <w:pPr>
        <w:spacing w:after="160"/>
        <w:jc w:val="center"/>
      </w:pPr>
      <w:r>
        <w:rPr>
          <w:color w:val="555555"/>
          <w:sz w:val="18"/>
          <w:szCs w:val="18"/>
        </w:rPr>
        <w:t>linkedin.com/in/dinesh-r-poddaturi  |  dineshpoddaturi.github.io  |  SSRN Working Paper Available</w:t>
      </w:r>
    </w:p>
    <w:p w14:paraId="076EE2C1" w14:textId="77777777" w:rsidR="0026255A" w:rsidRDefault="00000000">
      <w:pPr>
        <w:pBdr>
          <w:bottom w:val="single" w:sz="6" w:space="1" w:color="2E4057"/>
        </w:pBdr>
        <w:spacing w:before="220" w:after="80"/>
      </w:pPr>
      <w:r>
        <w:rPr>
          <w:b/>
          <w:bCs/>
          <w:color w:val="2E4057"/>
          <w:sz w:val="22"/>
          <w:szCs w:val="22"/>
        </w:rPr>
        <w:t>PROFESSIONAL SUMMARY</w:t>
      </w:r>
    </w:p>
    <w:p w14:paraId="43FDA908" w14:textId="77777777" w:rsidR="0026255A" w:rsidRDefault="00000000">
      <w:pPr>
        <w:spacing w:before="80" w:after="80"/>
      </w:pPr>
      <w:r>
        <w:t>Applied economist specializing in pricing strategy, demand estimation, and causal inference. Built and led a client advisory practice across 20+ ongoing accounts in the U.S., U.K., and Canada, generating $27M in cumulative incremental revenue over two and a half years through profit-aware pricing optimization, structural demand modeling, and controlled experimentation. Individual engagements include $4.2M in seasonal pricing impact over a single quarter and $23M in annual revenue lift against a $15.5M prior-year baseline. Combines PhD-level econometric rigor with the ability to translate findings into pricing decisions that clients adopt and act on. Author of a working paper on profit-aware pricing in two-sided marketplaces integrating demand elasticity estimation, cost sensitivity analysis, and implementation framework design.</w:t>
      </w:r>
    </w:p>
    <w:p w14:paraId="754A641B" w14:textId="77777777" w:rsidR="0026255A" w:rsidRDefault="00000000">
      <w:pPr>
        <w:pBdr>
          <w:bottom w:val="single" w:sz="6" w:space="1" w:color="2E4057"/>
        </w:pBdr>
        <w:spacing w:before="220" w:after="80"/>
      </w:pPr>
      <w:r>
        <w:rPr>
          <w:b/>
          <w:bCs/>
          <w:color w:val="2E4057"/>
          <w:sz w:val="22"/>
          <w:szCs w:val="22"/>
        </w:rPr>
        <w:t>PROFESSIONAL EXPERIENCE</w:t>
      </w:r>
    </w:p>
    <w:p w14:paraId="41EF5599" w14:textId="77777777" w:rsidR="0026255A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2E"/>
          <w:sz w:val="22"/>
          <w:szCs w:val="22"/>
        </w:rPr>
        <w:t>Economist — Pricing &amp; Demand Analytics</w:t>
      </w:r>
      <w:r>
        <w:rPr>
          <w:color w:val="555555"/>
          <w:sz w:val="19"/>
          <w:szCs w:val="19"/>
        </w:rPr>
        <w:tab/>
        <w:t>Jul 2023 – Nov 2025</w:t>
      </w:r>
    </w:p>
    <w:p w14:paraId="15B396BE" w14:textId="77777777" w:rsidR="0026255A" w:rsidRDefault="00000000">
      <w:pPr>
        <w:tabs>
          <w:tab w:val="right" w:pos="9360"/>
        </w:tabs>
        <w:spacing w:after="60"/>
      </w:pPr>
      <w:r>
        <w:rPr>
          <w:b/>
          <w:bCs/>
          <w:color w:val="2E4057"/>
        </w:rPr>
        <w:t>Digonex (Pricing Optimization Consultancy)</w:t>
      </w:r>
      <w:r>
        <w:rPr>
          <w:color w:val="555555"/>
          <w:sz w:val="19"/>
          <w:szCs w:val="19"/>
        </w:rPr>
        <w:tab/>
        <w:t>Indianapolis, IN</w:t>
      </w:r>
    </w:p>
    <w:p w14:paraId="25AAA76E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Generated $27M in cumulative incremental revenue (+34.6% over the engagement period) across 20+ ongoing client accounts in the U.S., U.K., and Canada through demand elasticity estimation, discrete choice analysis, and profit-aware pricing optimization.</w:t>
      </w:r>
    </w:p>
    <w:p w14:paraId="1EE5E77A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$4.2M in seasonal pricing impact for a single client over three months by implementing dynamic pricing against real-time demand signals, identifying consumer willingness-to-pay above the client's price ceiling, and providing counterfactual revenue projections that persuaded the client to lift constraints — leading to expanded advisory scope and a site visit invitation.</w:t>
      </w:r>
    </w:p>
    <w:p w14:paraId="74EDF5DB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Grew a client's annual revenue from $15.5M to $23M (+48%) in 2025 by calibrating pricing to product value enhancements introduced during the year, adjusting recommendations dynamically as new demand data accumulated.</w:t>
      </w:r>
    </w:p>
    <w:p w14:paraId="67FDB7C9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 customer segmentation pricing experiment that produced an unexpected cross-segment revenue lift: targeted discounts for one demographic increased purchase volume from a secondary demographic whose willingness-to-pay was not price-constrained, resulting in net revenue growth that exceeded projections from the primary segment alone.</w:t>
      </w:r>
    </w:p>
    <w:p w14:paraId="0B808326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Built a centralized pricing analytics infrastructure integrating 100+ client datasets (transactional, behavioral, market data), substantially reducing time spent on data cleaning and structuring for reporting, counterfactual analysis, and opportunity identification across the portfolio.</w:t>
      </w:r>
    </w:p>
    <w:p w14:paraId="5C33F636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Presented pricing trade-offs, demand forecasts, and revenue risk scenarios to executive and cross-functional stakeholders; consistently shifted client decision-making from volume metrics to margin metrics through structured counterfactual communication.</w:t>
      </w:r>
    </w:p>
    <w:p w14:paraId="5079524E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executed A/B testing protocols to validate pricing recommendations causally before full deployment; monitored post-implementation performance against projected impact and provided end-of-period attribution reports.</w:t>
      </w:r>
    </w:p>
    <w:p w14:paraId="59574843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Partnered with product, sales, and client teams to deploy pricing changes across three markets, managing phased rollouts, price ceiling negotiations, and contingency protocols.</w:t>
      </w:r>
    </w:p>
    <w:p w14:paraId="047C0896" w14:textId="77777777" w:rsidR="0026255A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2E"/>
          <w:sz w:val="22"/>
          <w:szCs w:val="22"/>
        </w:rPr>
        <w:t>Research Economist</w:t>
      </w:r>
      <w:r>
        <w:rPr>
          <w:color w:val="555555"/>
          <w:sz w:val="19"/>
          <w:szCs w:val="19"/>
        </w:rPr>
        <w:tab/>
        <w:t>Aug 2018 – May 2023</w:t>
      </w:r>
    </w:p>
    <w:p w14:paraId="25621898" w14:textId="77777777" w:rsidR="0026255A" w:rsidRDefault="00000000">
      <w:pPr>
        <w:tabs>
          <w:tab w:val="right" w:pos="9360"/>
        </w:tabs>
        <w:spacing w:after="60"/>
      </w:pPr>
      <w:r>
        <w:rPr>
          <w:b/>
          <w:bCs/>
          <w:color w:val="2E4057"/>
        </w:rPr>
        <w:t>Department of Economics, Iowa State University</w:t>
      </w:r>
      <w:r>
        <w:rPr>
          <w:color w:val="555555"/>
          <w:sz w:val="19"/>
          <w:szCs w:val="19"/>
        </w:rPr>
        <w:tab/>
        <w:t>Ames, IA</w:t>
      </w:r>
    </w:p>
    <w:p w14:paraId="3F56383D" w14:textId="77777777" w:rsidR="0026255A" w:rsidRDefault="00000000">
      <w:pPr>
        <w:spacing w:after="60"/>
      </w:pPr>
      <w:r>
        <w:rPr>
          <w:i/>
          <w:iCs/>
        </w:rPr>
        <w:t>Dissertation: "A Dynamic Model of U.S. Beef Cattle" — dynamic structural estimation, rational and naive price expectations, scenario simulation, policy impact analysis.</w:t>
      </w:r>
    </w:p>
    <w:p w14:paraId="69B85EC3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dynamic structural economic models of the U.S. beef cattle industry integrating agent optimization, biological constraints, age and gender distribution, and market clearing conditions, calibrated across 14 datasets.</w:t>
      </w:r>
    </w:p>
    <w:p w14:paraId="6118608A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Produced 10-year demand, supply, and pricing forecasts that outperformed USDA benchmark projections by 5%, enabling scenario-based policy analysis for disease outbreak response and national traceability program design.</w:t>
      </w:r>
    </w:p>
    <w:p w14:paraId="7F3C7814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Estimated short-run and long-run producer surplus impacts of a mandatory national animal identification system under varying cost-sharing programs and adoption rates, providing actionable guidance for agricultural policymakers.</w:t>
      </w:r>
    </w:p>
    <w:p w14:paraId="4DD79153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Led three end-to-end research projects from structural estimation and counterfactual simulation through publication and presentation at three national economics conferences (WAEA 2022, AAEA 2021, AAEA 2020).</w:t>
      </w:r>
    </w:p>
    <w:p w14:paraId="61EEF2F2" w14:textId="77777777" w:rsidR="0026255A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2E"/>
          <w:sz w:val="22"/>
          <w:szCs w:val="22"/>
        </w:rPr>
        <w:t>Software Developer &amp; Data Analyst</w:t>
      </w:r>
      <w:r>
        <w:rPr>
          <w:color w:val="555555"/>
          <w:sz w:val="19"/>
          <w:szCs w:val="19"/>
        </w:rPr>
        <w:tab/>
        <w:t>May 2014 – Jul 2018</w:t>
      </w:r>
    </w:p>
    <w:p w14:paraId="26EB06EE" w14:textId="77777777" w:rsidR="0026255A" w:rsidRDefault="00000000">
      <w:pPr>
        <w:tabs>
          <w:tab w:val="right" w:pos="9360"/>
        </w:tabs>
        <w:spacing w:after="60"/>
      </w:pPr>
      <w:r>
        <w:rPr>
          <w:b/>
          <w:bCs/>
          <w:color w:val="2E4057"/>
        </w:rPr>
        <w:t>Iowa State University Extension and Outreach / Department of Agronomy</w:t>
      </w:r>
      <w:r>
        <w:rPr>
          <w:color w:val="555555"/>
          <w:sz w:val="19"/>
          <w:szCs w:val="19"/>
        </w:rPr>
        <w:tab/>
        <w:t>Ames, IA</w:t>
      </w:r>
    </w:p>
    <w:p w14:paraId="2175AA36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two web-based market analysis tools (Java, SQL) for beef and pork producers, deployed and used daily across the U.S. and nine international countries; improved product performance by 15% through code review and system optimization.</w:t>
      </w:r>
    </w:p>
    <w:p w14:paraId="3A0F939D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Conducted cost-benefit analysis on 15,000 printing records, identifying pricing adjustments that improved revenue by </w:t>
      </w:r>
      <w:proofErr w:type="gramStart"/>
      <w:r>
        <w:t>2%;</w:t>
      </w:r>
      <w:proofErr w:type="gramEnd"/>
      <w:r>
        <w:t xml:space="preserve"> designed experiments and statistical methods contributing to three industry-facing publications.</w:t>
      </w:r>
    </w:p>
    <w:p w14:paraId="029EB825" w14:textId="77777777" w:rsidR="0026255A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2E"/>
          <w:sz w:val="22"/>
          <w:szCs w:val="22"/>
        </w:rPr>
        <w:t>Systems Engineer, Business Platforms</w:t>
      </w:r>
      <w:r>
        <w:rPr>
          <w:color w:val="555555"/>
          <w:sz w:val="19"/>
          <w:szCs w:val="19"/>
        </w:rPr>
        <w:tab/>
        <w:t>Mar 2012 – Dec 2013</w:t>
      </w:r>
    </w:p>
    <w:p w14:paraId="1E0B0935" w14:textId="77777777" w:rsidR="0026255A" w:rsidRDefault="00000000">
      <w:pPr>
        <w:tabs>
          <w:tab w:val="right" w:pos="9360"/>
        </w:tabs>
        <w:spacing w:after="60"/>
      </w:pPr>
      <w:r>
        <w:rPr>
          <w:b/>
          <w:bCs/>
          <w:color w:val="2E4057"/>
        </w:rPr>
        <w:t>Infosys Limited</w:t>
      </w:r>
      <w:r>
        <w:rPr>
          <w:color w:val="555555"/>
          <w:sz w:val="19"/>
          <w:szCs w:val="19"/>
        </w:rPr>
        <w:tab/>
        <w:t>Hyderabad, India</w:t>
      </w:r>
    </w:p>
    <w:p w14:paraId="286CFEB7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Directed and mentored a team of six engineers on an online banking software product; presented business analysis findings to senior management and secured project funding.</w:t>
      </w:r>
    </w:p>
    <w:p w14:paraId="25E26962" w14:textId="32628B33" w:rsidR="0026255A" w:rsidRDefault="00000000" w:rsidP="005B4CCF">
      <w:pPr>
        <w:pStyle w:val="ListParagraph"/>
        <w:numPr>
          <w:ilvl w:val="0"/>
          <w:numId w:val="2"/>
        </w:numPr>
        <w:spacing w:before="40" w:after="40"/>
      </w:pPr>
      <w:r>
        <w:t>Automated enterprise application deployment into production, increasing team productivity by 10%; configured and maintained SQL database infrastructure.</w:t>
      </w:r>
    </w:p>
    <w:p w14:paraId="79F19975" w14:textId="77777777" w:rsidR="0026255A" w:rsidRDefault="00000000">
      <w:pPr>
        <w:pBdr>
          <w:bottom w:val="single" w:sz="6" w:space="1" w:color="2E4057"/>
        </w:pBdr>
        <w:spacing w:before="220" w:after="80"/>
      </w:pPr>
      <w:r>
        <w:rPr>
          <w:b/>
          <w:bCs/>
          <w:color w:val="2E4057"/>
          <w:sz w:val="22"/>
          <w:szCs w:val="22"/>
        </w:rPr>
        <w:t>EDUCATION</w:t>
      </w:r>
    </w:p>
    <w:p w14:paraId="44991AEF" w14:textId="77777777" w:rsidR="0026255A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Ph.D., Economics</w:t>
      </w:r>
      <w:r>
        <w:rPr>
          <w:color w:val="555555"/>
        </w:rPr>
        <w:tab/>
        <w:t>2018 – 2023</w:t>
      </w:r>
    </w:p>
    <w:p w14:paraId="40AB1F36" w14:textId="77777777" w:rsidR="0026255A" w:rsidRDefault="00000000">
      <w:pPr>
        <w:spacing w:after="80"/>
      </w:pPr>
      <w:r>
        <w:rPr>
          <w:color w:val="555555"/>
        </w:rPr>
        <w:t xml:space="preserve">Iowa State University, Ames, IA  —  </w:t>
      </w:r>
      <w:r>
        <w:rPr>
          <w:i/>
          <w:iCs/>
          <w:color w:val="555555"/>
        </w:rPr>
        <w:t>Dissertation: Dynamic structural modeling, demand estimation, counterfactual simulation, agricultural policy analysis</w:t>
      </w:r>
    </w:p>
    <w:p w14:paraId="7FD93307" w14:textId="77777777" w:rsidR="0026255A" w:rsidRDefault="00000000">
      <w:pPr>
        <w:tabs>
          <w:tab w:val="right" w:pos="9360"/>
        </w:tabs>
        <w:spacing w:before="60" w:after="20"/>
      </w:pPr>
      <w:r>
        <w:rPr>
          <w:b/>
          <w:bCs/>
        </w:rPr>
        <w:t>M.S., Statistics</w:t>
      </w:r>
      <w:r>
        <w:rPr>
          <w:color w:val="555555"/>
        </w:rPr>
        <w:tab/>
        <w:t>2016 – 2018</w:t>
      </w:r>
    </w:p>
    <w:p w14:paraId="4A87A0A2" w14:textId="77777777" w:rsidR="0026255A" w:rsidRDefault="00000000">
      <w:pPr>
        <w:spacing w:after="80"/>
      </w:pPr>
      <w:r>
        <w:rPr>
          <w:color w:val="555555"/>
        </w:rPr>
        <w:t>Iowa State University, Ames, IA</w:t>
      </w:r>
    </w:p>
    <w:p w14:paraId="502A41E4" w14:textId="77777777" w:rsidR="0026255A" w:rsidRDefault="00000000">
      <w:pPr>
        <w:tabs>
          <w:tab w:val="right" w:pos="9360"/>
        </w:tabs>
        <w:spacing w:before="60" w:after="20"/>
      </w:pPr>
      <w:r>
        <w:rPr>
          <w:b/>
          <w:bCs/>
        </w:rPr>
        <w:t>M.S., Information Systems</w:t>
      </w:r>
      <w:r>
        <w:rPr>
          <w:color w:val="555555"/>
        </w:rPr>
        <w:tab/>
        <w:t>2014 – 2016</w:t>
      </w:r>
    </w:p>
    <w:p w14:paraId="002E95E8" w14:textId="77777777" w:rsidR="0026255A" w:rsidRDefault="00000000">
      <w:pPr>
        <w:spacing w:after="80"/>
      </w:pPr>
      <w:r>
        <w:rPr>
          <w:color w:val="555555"/>
        </w:rPr>
        <w:t>Iowa State University, Ames, IA</w:t>
      </w:r>
    </w:p>
    <w:p w14:paraId="1639A31A" w14:textId="77777777" w:rsidR="0026255A" w:rsidRDefault="00000000">
      <w:pPr>
        <w:tabs>
          <w:tab w:val="right" w:pos="9360"/>
        </w:tabs>
        <w:spacing w:before="60" w:after="20"/>
      </w:pPr>
      <w:r>
        <w:rPr>
          <w:b/>
          <w:bCs/>
        </w:rPr>
        <w:t>B.Tech., Electronics and Communication Engineering</w:t>
      </w:r>
      <w:r>
        <w:rPr>
          <w:color w:val="555555"/>
        </w:rPr>
        <w:tab/>
        <w:t>2007 – 2011</w:t>
      </w:r>
    </w:p>
    <w:p w14:paraId="3C32CA4E" w14:textId="77777777" w:rsidR="0026255A" w:rsidRDefault="00000000">
      <w:pPr>
        <w:spacing w:after="80"/>
      </w:pPr>
      <w:r>
        <w:rPr>
          <w:color w:val="555555"/>
        </w:rPr>
        <w:t>CVR College of Engineering, India</w:t>
      </w:r>
    </w:p>
    <w:p w14:paraId="0387DA7A" w14:textId="77777777" w:rsidR="0026255A" w:rsidRDefault="00000000">
      <w:pPr>
        <w:pBdr>
          <w:bottom w:val="single" w:sz="6" w:space="1" w:color="2E4057"/>
        </w:pBdr>
        <w:spacing w:before="220" w:after="80"/>
      </w:pPr>
      <w:r>
        <w:rPr>
          <w:b/>
          <w:bCs/>
          <w:color w:val="2E4057"/>
          <w:sz w:val="22"/>
          <w:szCs w:val="22"/>
        </w:rPr>
        <w:t>RESEARCH &amp; PUBLICATIONS</w:t>
      </w:r>
    </w:p>
    <w:p w14:paraId="0DD53298" w14:textId="77777777" w:rsidR="0026255A" w:rsidRDefault="00000000">
      <w:pPr>
        <w:spacing w:before="100" w:after="40"/>
      </w:pPr>
      <w:r>
        <w:rPr>
          <w:b/>
          <w:bCs/>
        </w:rPr>
        <w:t>Working Paper</w:t>
      </w:r>
    </w:p>
    <w:p w14:paraId="4702B481" w14:textId="77777777" w:rsidR="0026255A" w:rsidRDefault="00000000">
      <w:pPr>
        <w:spacing w:after="80"/>
      </w:pPr>
      <w:r>
        <w:t>Poddaturi, D.R. (2026). Profit-Aware Pricing in Two-Sided Marketplaces: Demand Elasticity, Cost Uncertainty, and Customer Lifetime Value in Brazilian E-Commerce. Working paper. Available on SSRN.</w:t>
      </w:r>
    </w:p>
    <w:p w14:paraId="4DD3970C" w14:textId="77777777" w:rsidR="0026255A" w:rsidRDefault="00000000">
      <w:pPr>
        <w:spacing w:before="80" w:after="40"/>
      </w:pPr>
      <w:r>
        <w:rPr>
          <w:b/>
          <w:bCs/>
        </w:rPr>
        <w:t>Selected Conference Presentations</w:t>
      </w:r>
    </w:p>
    <w:p w14:paraId="49568D90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"A Dynamic Assessment of the Economic Impacts of a Foot-and-Mouth Disease Outbreak on the U.S. Beef Cattle Industry." Western Agricultural Economics Association, Santa Fe, NM. June 2022.</w:t>
      </w:r>
    </w:p>
    <w:p w14:paraId="18819DDD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"Implementing a National Animal Identification and Traceability Program: Economic Assessment using a Dynamic Model of U.S. Beef Cattle." Agricultural &amp; Applied Economics Association, Austin, TX. August 2021.</w:t>
      </w:r>
    </w:p>
    <w:p w14:paraId="3F91E4E0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"A Dynamic Model of U.S. Beef Cattle." Agricultural &amp; Applied Economics Association, Virtual. August 2020.</w:t>
      </w:r>
    </w:p>
    <w:p w14:paraId="5B064B0D" w14:textId="77777777" w:rsidR="0026255A" w:rsidRDefault="00000000">
      <w:pPr>
        <w:spacing w:before="80" w:after="40"/>
      </w:pPr>
      <w:r>
        <w:rPr>
          <w:b/>
          <w:bCs/>
        </w:rPr>
        <w:t>Industry Publications</w:t>
      </w:r>
    </w:p>
    <w:p w14:paraId="1B7A1E39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Poddaturi, D.R., Dahlke, G., Euken, R., Schulz, L. (2018). Development of a CRUSH Margin Calculator for Beef and Pork Markets. Iowa State University Animal Industry Report. ASL R3221.</w:t>
      </w:r>
    </w:p>
    <w:p w14:paraId="36E624C8" w14:textId="77777777" w:rsidR="0026255A" w:rsidRDefault="00000000">
      <w:pPr>
        <w:pStyle w:val="ListParagraph"/>
        <w:numPr>
          <w:ilvl w:val="0"/>
          <w:numId w:val="2"/>
        </w:numPr>
        <w:spacing w:before="40" w:after="40"/>
      </w:pPr>
      <w:r>
        <w:t>Poddaturi, D.R., Dahlke, G., Johnson, S. (2016). Management Minder — A Web Based Data Management Application. Iowa State University Animal Industry Report. ASL R3052.</w:t>
      </w:r>
    </w:p>
    <w:p w14:paraId="361DEFB6" w14:textId="77777777" w:rsidR="0026255A" w:rsidRDefault="00000000">
      <w:pPr>
        <w:pBdr>
          <w:bottom w:val="single" w:sz="6" w:space="1" w:color="2E4057"/>
        </w:pBdr>
        <w:spacing w:before="220" w:after="80"/>
      </w:pPr>
      <w:r>
        <w:rPr>
          <w:b/>
          <w:bCs/>
          <w:color w:val="2E4057"/>
          <w:sz w:val="22"/>
          <w:szCs w:val="22"/>
        </w:rPr>
        <w:t>TECHNICAL SKILLS</w:t>
      </w:r>
    </w:p>
    <w:p w14:paraId="3581F7E7" w14:textId="77777777" w:rsidR="0026255A" w:rsidRDefault="00000000">
      <w:pPr>
        <w:spacing w:before="80" w:after="60"/>
      </w:pPr>
      <w:r>
        <w:rPr>
          <w:b/>
          <w:bCs/>
        </w:rPr>
        <w:t xml:space="preserve">Econometrics &amp; Methods:  </w:t>
      </w:r>
      <w:r>
        <w:t>Demand elasticity estimation, structural econometric modeling, causal inference, discrete choice models, A/B testing, propensity modeling, CLV modeling, counterfactual simulation, time series forecasting, panel data methods</w:t>
      </w:r>
    </w:p>
    <w:p w14:paraId="56102A24" w14:textId="77777777" w:rsidR="0026255A" w:rsidRDefault="00000000">
      <w:pPr>
        <w:spacing w:after="60"/>
      </w:pPr>
      <w:r>
        <w:rPr>
          <w:b/>
          <w:bCs/>
        </w:rPr>
        <w:t xml:space="preserve">Pricing &amp; Strategy:  </w:t>
      </w:r>
      <w:r>
        <w:t>Profit optimization, dynamic pricing, price ceiling analysis, customer segmentation, sensitivity analysis, scenario planning, executive communication of pricing trade-offs</w:t>
      </w:r>
    </w:p>
    <w:p w14:paraId="452D7D05" w14:textId="2DFD077E" w:rsidR="0026255A" w:rsidRDefault="00000000">
      <w:pPr>
        <w:spacing w:after="60"/>
      </w:pPr>
      <w:r>
        <w:rPr>
          <w:b/>
          <w:bCs/>
        </w:rPr>
        <w:t xml:space="preserve">Programming &amp; Tools:  </w:t>
      </w:r>
      <w:r>
        <w:t xml:space="preserve">R, Python, </w:t>
      </w:r>
      <w:r w:rsidR="00300AB6">
        <w:t xml:space="preserve">STATA, </w:t>
      </w:r>
      <w:r>
        <w:t>SQL, Java, LaTeX, Git, RStudio</w:t>
      </w:r>
    </w:p>
    <w:p w14:paraId="7D220FC4" w14:textId="77777777" w:rsidR="0026255A" w:rsidRDefault="00000000">
      <w:pPr>
        <w:spacing w:after="100"/>
      </w:pPr>
      <w:r>
        <w:rPr>
          <w:b/>
          <w:bCs/>
        </w:rPr>
        <w:lastRenderedPageBreak/>
        <w:t xml:space="preserve">Domains:  </w:t>
      </w:r>
      <w:r>
        <w:t>E-commerce marketplace economics, dynamic pricing, agricultural commodity markets, enterprise software, multi-market client advisory (U.S., U.K., Canada)</w:t>
      </w:r>
    </w:p>
    <w:p w14:paraId="1EC3C213" w14:textId="77777777" w:rsidR="0026255A" w:rsidRDefault="00000000">
      <w:pPr>
        <w:spacing w:before="160"/>
        <w:jc w:val="center"/>
      </w:pPr>
      <w:r>
        <w:rPr>
          <w:i/>
          <w:iCs/>
          <w:color w:val="555555"/>
          <w:sz w:val="18"/>
          <w:szCs w:val="18"/>
        </w:rPr>
        <w:t>References available upon request</w:t>
      </w:r>
    </w:p>
    <w:sectPr w:rsidR="0026255A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36ACA"/>
    <w:multiLevelType w:val="hybridMultilevel"/>
    <w:tmpl w:val="0D76D872"/>
    <w:lvl w:ilvl="0" w:tplc="04AA2968">
      <w:start w:val="1"/>
      <w:numFmt w:val="bullet"/>
      <w:lvlText w:val="•"/>
      <w:lvlJc w:val="left"/>
      <w:pPr>
        <w:ind w:left="440" w:hanging="280"/>
      </w:pPr>
    </w:lvl>
    <w:lvl w:ilvl="1" w:tplc="00865392">
      <w:numFmt w:val="decimal"/>
      <w:lvlText w:val=""/>
      <w:lvlJc w:val="left"/>
    </w:lvl>
    <w:lvl w:ilvl="2" w:tplc="9146B6AC">
      <w:numFmt w:val="decimal"/>
      <w:lvlText w:val=""/>
      <w:lvlJc w:val="left"/>
    </w:lvl>
    <w:lvl w:ilvl="3" w:tplc="9A52AE7E">
      <w:numFmt w:val="decimal"/>
      <w:lvlText w:val=""/>
      <w:lvlJc w:val="left"/>
    </w:lvl>
    <w:lvl w:ilvl="4" w:tplc="ABEE787C">
      <w:numFmt w:val="decimal"/>
      <w:lvlText w:val=""/>
      <w:lvlJc w:val="left"/>
    </w:lvl>
    <w:lvl w:ilvl="5" w:tplc="CD64296C">
      <w:numFmt w:val="decimal"/>
      <w:lvlText w:val=""/>
      <w:lvlJc w:val="left"/>
    </w:lvl>
    <w:lvl w:ilvl="6" w:tplc="6E424DB4">
      <w:numFmt w:val="decimal"/>
      <w:lvlText w:val=""/>
      <w:lvlJc w:val="left"/>
    </w:lvl>
    <w:lvl w:ilvl="7" w:tplc="43581BA4">
      <w:numFmt w:val="decimal"/>
      <w:lvlText w:val=""/>
      <w:lvlJc w:val="left"/>
    </w:lvl>
    <w:lvl w:ilvl="8" w:tplc="AB0CA024">
      <w:numFmt w:val="decimal"/>
      <w:lvlText w:val=""/>
      <w:lvlJc w:val="left"/>
    </w:lvl>
  </w:abstractNum>
  <w:abstractNum w:abstractNumId="1" w15:restartNumberingAfterBreak="0">
    <w:nsid w:val="7A1B422A"/>
    <w:multiLevelType w:val="hybridMultilevel"/>
    <w:tmpl w:val="1EBEC290"/>
    <w:lvl w:ilvl="0" w:tplc="94E487CA">
      <w:start w:val="1"/>
      <w:numFmt w:val="bullet"/>
      <w:lvlText w:val="●"/>
      <w:lvlJc w:val="left"/>
      <w:pPr>
        <w:ind w:left="720" w:hanging="360"/>
      </w:pPr>
    </w:lvl>
    <w:lvl w:ilvl="1" w:tplc="CC624856">
      <w:start w:val="1"/>
      <w:numFmt w:val="bullet"/>
      <w:lvlText w:val="○"/>
      <w:lvlJc w:val="left"/>
      <w:pPr>
        <w:ind w:left="1440" w:hanging="360"/>
      </w:pPr>
    </w:lvl>
    <w:lvl w:ilvl="2" w:tplc="57E2E948">
      <w:start w:val="1"/>
      <w:numFmt w:val="bullet"/>
      <w:lvlText w:val="■"/>
      <w:lvlJc w:val="left"/>
      <w:pPr>
        <w:ind w:left="2160" w:hanging="360"/>
      </w:pPr>
    </w:lvl>
    <w:lvl w:ilvl="3" w:tplc="09BE14FA">
      <w:start w:val="1"/>
      <w:numFmt w:val="bullet"/>
      <w:lvlText w:val="●"/>
      <w:lvlJc w:val="left"/>
      <w:pPr>
        <w:ind w:left="2880" w:hanging="360"/>
      </w:pPr>
    </w:lvl>
    <w:lvl w:ilvl="4" w:tplc="0D7CC9F4">
      <w:start w:val="1"/>
      <w:numFmt w:val="bullet"/>
      <w:lvlText w:val="○"/>
      <w:lvlJc w:val="left"/>
      <w:pPr>
        <w:ind w:left="3600" w:hanging="360"/>
      </w:pPr>
    </w:lvl>
    <w:lvl w:ilvl="5" w:tplc="262A6730">
      <w:start w:val="1"/>
      <w:numFmt w:val="bullet"/>
      <w:lvlText w:val="■"/>
      <w:lvlJc w:val="left"/>
      <w:pPr>
        <w:ind w:left="4320" w:hanging="360"/>
      </w:pPr>
    </w:lvl>
    <w:lvl w:ilvl="6" w:tplc="FB58145A">
      <w:start w:val="1"/>
      <w:numFmt w:val="bullet"/>
      <w:lvlText w:val="●"/>
      <w:lvlJc w:val="left"/>
      <w:pPr>
        <w:ind w:left="5040" w:hanging="360"/>
      </w:pPr>
    </w:lvl>
    <w:lvl w:ilvl="7" w:tplc="306AA764">
      <w:start w:val="1"/>
      <w:numFmt w:val="bullet"/>
      <w:lvlText w:val="●"/>
      <w:lvlJc w:val="left"/>
      <w:pPr>
        <w:ind w:left="5760" w:hanging="360"/>
      </w:pPr>
    </w:lvl>
    <w:lvl w:ilvl="8" w:tplc="39DE41EC">
      <w:start w:val="1"/>
      <w:numFmt w:val="bullet"/>
      <w:lvlText w:val="●"/>
      <w:lvlJc w:val="left"/>
      <w:pPr>
        <w:ind w:left="6480" w:hanging="360"/>
      </w:pPr>
    </w:lvl>
  </w:abstractNum>
  <w:num w:numId="1" w16cid:durableId="2138066551">
    <w:abstractNumId w:val="1"/>
    <w:lvlOverride w:ilvl="0">
      <w:startOverride w:val="1"/>
    </w:lvlOverride>
  </w:num>
  <w:num w:numId="2" w16cid:durableId="1743798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55A"/>
    <w:rsid w:val="0026255A"/>
    <w:rsid w:val="00300AB6"/>
    <w:rsid w:val="005B4CCF"/>
    <w:rsid w:val="00D2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2FD75E"/>
  <w15:docId w15:val="{B1625139-3A26-A94B-B0C7-B1920AA17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1166</Words>
  <Characters>6649</Characters>
  <Application>Microsoft Office Word</Application>
  <DocSecurity>0</DocSecurity>
  <Lines>55</Lines>
  <Paragraphs>15</Paragraphs>
  <ScaleCrop>false</ScaleCrop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 Poddaturi</cp:lastModifiedBy>
  <cp:revision>3</cp:revision>
  <dcterms:created xsi:type="dcterms:W3CDTF">2026-03-31T14:40:00Z</dcterms:created>
  <dcterms:modified xsi:type="dcterms:W3CDTF">2026-03-31T14:52:00Z</dcterms:modified>
</cp:coreProperties>
</file>