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DINESH R. PODDATURI, Ph.D.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Indianapolis, IN — Open to Chicago Relocation  |  dineshreddypoddaturi@gmail.com  |  252-378-0710</w:t>
      </w:r>
    </w:p>
    <w:p>
      <w:pPr>
        <w:spacing w:before="0" w:after="13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linkedin.com/in/dinesh-r-poddaturi  |  dineshpoddaturi.github.io  |  SSRN Working Paper Available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PROFILE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Pricing strategist and applied economist with a PhD in Economics and 2.5 years managing 20+ ongoing client accounts across the U.S., U.K., and Canada. Generated $27M in cumulative incremental revenue through profit-aware pricing optimization and controlled experimentation — including $4.2M for a single client in one quarter and $23M in annual revenue growth against a $15.5M prior-year baseline. Translates complex demand analysis into pricing decisions that clients adopt, implement, and expand.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Economist — Pricing &amp; Demand Analytics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Jul 2023 – Nov 2025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Digonex (Pricing Optimization Consultancy)  ·  Indianapolis, 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Generated $27M in cumulative incremental revenue (+34.6% over engagement period) across 20+ ongoing client accounts in the U.S., U.K., and Canada through demand elasticity estimation, discrete choice analysis, and profit-aware pricing optimization.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Delivered $4.2M in seasonal pricing impact for a single client over three months by implementing dynamic pricing against real-time demand signals; identified consumer willingness-to-pay above the client's internal price ceiling and provided counterfactual projections that persuaded the client to lift constraints — earning expanded advisory scope and a site visit.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Grew a client's annual revenue from $15.5M to $23M (+48%) in 2025 by calibrating pricing dynamically to product value enhancements introduced during the year.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Designed a segmented pricing experiment revealing an unexpected cross-segment revenue lift: discounts targeted at one demographic drove volume increases from a secondary demographic with higher willingness-to-pay, producing net revenue growth that exceeded single-segment projections.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Presented pricing trade-offs, demand forecasts, and revenue risk scenarios to executive stakeholders; built centralized analytics infrastructure integrating 100+ client datasets to enable portfolio-wide modeling and reduce turnaround time on client deliverables.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Research Economist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Aug 2018 – May 2023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Department of Economics, Iowa State University  ·  Ames,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Built dynamic structural economic models producing 10-year demand and pricing forecasts that outperformed USDA benchmark projections by 5%; led three end-to-end research projects from structural estimation through national conference presentation.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Estimated short-run and long-run economic impacts of agricultural policy scenarios including disease outbreak response and national traceability program design under varying cost and adoption assumptions.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Software Developer &amp; Data Analyst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May 2014 – Jul 2018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Iowa State University Extension and Outreach  ·  Ames, 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Built two market analysis tools (Java, SQL) used daily by producers across the U.S. and nine international countries; conducted pricing analysis on 15,000 records identifying revenue-improving adjustments.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Systems Engineer, Business Platforms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Mar 2012 – Dec 2013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2E4057"/>
          <w:sz w:val="19"/>
          <w:szCs w:val="19"/>
        </w:rPr>
        <w:t xml:space="preserve">Infosys Limited  ·  Hyderabad, India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19"/>
          <w:szCs w:val="19"/>
        </w:rPr>
        <w:t xml:space="preserve">Led team of six engineers on enterprise banking software; automated deployment pipelines increasing productivity by 10%; presented business analysis to senior management and secured project funding.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Ph.D., Economics  —  Iowa State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2018 –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Dissertation: Dynamic structural modeling, demand estimation, counterfactual simulation, policy impact analysis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M.S., Statistics  —  Iowa State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2016 – 2018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M.S., Information Systems  —  Iowa State University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2014 – 2016</w:t>
      </w:r>
    </w:p>
    <w:p>
      <w:pPr>
        <w:tabs>
          <w:tab w:val="right" w:pos="9360"/>
        </w:tabs>
        <w:spacing w:before="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B.Tech., Electronics &amp; Communication Engineering  —  CVR College of Engineering, India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	2007 – 2011</w:t>
      </w:r>
    </w:p>
    <w:p>
      <w:pPr>
        <w:pBdr>
          <w:bottom w:val="single" w:color="2E4057" w:sz="4" w:space="1"/>
        </w:pBdr>
        <w:spacing w:before="180" w:after="60"/>
      </w:pP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SKILLS &amp; RESEARCH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Methods:  </w:t>
      </w:r>
      <w:r>
        <w:rPr>
          <w:rFonts w:ascii="Arial" w:cs="Arial" w:eastAsia="Arial" w:hAnsi="Arial"/>
          <w:sz w:val="19"/>
          <w:szCs w:val="19"/>
        </w:rPr>
        <w:t xml:space="preserve">Demand elasticity estimation, pricing optimization, causal inference, A/B testing, discrete choice models, propensity modeling, structural econometric modeling, dynamic pricing, counterfactual simulation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Programming:  </w:t>
      </w:r>
      <w:r>
        <w:rPr>
          <w:rFonts w:ascii="Arial" w:cs="Arial" w:eastAsia="Arial" w:hAnsi="Arial"/>
          <w:sz w:val="19"/>
          <w:szCs w:val="19"/>
        </w:rPr>
        <w:t xml:space="preserve">R (primary), Python, SQL, Java, LaTeX, Git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Working Paper:  </w:t>
      </w:r>
      <w:r>
        <w:rPr>
          <w:rFonts w:ascii="Arial" w:cs="Arial" w:eastAsia="Arial" w:hAnsi="Arial"/>
          <w:sz w:val="19"/>
          <w:szCs w:val="19"/>
        </w:rPr>
        <w:t xml:space="preserve">"Profit-Aware Pricing in Two-Sided Marketplaces: Demand Elasticity, Cost Uncertainty, and Customer Lifetime Value in Brazilian E-Commerce" (2026). Available on SSRN.</w:t>
      </w:r>
    </w:p>
    <w:p>
      <w:pPr>
        <w:spacing w:before="140" w:after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References available upon request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2026-03-31T14:40:55.987Z</dcterms:created>
  <dcterms:modified xsi:type="dcterms:W3CDTF">2026-03-31T14:40:55.987Z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