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0"/>
        <w:jc w:val="center"/>
        <w:shd w:val="clear" w:color="auto" w:fill="1F3864"/>
      </w:pPr>
      <w:r>
        <w:rPr>
          <w:rFonts w:ascii="Calibri" w:hAnsi="Calibri"/>
          <w:b/>
          <w:color w:val="FFFFFF"/>
          <w:sz w:val="56"/>
        </w:rPr>
        <w:t>Movie Review App</w:t>
      </w:r>
    </w:p>
    <w:p>
      <w:pPr>
        <w:spacing w:before="0" w:after="960"/>
        <w:jc w:val="center"/>
        <w:shd w:val="clear" w:color="auto" w:fill="1F3864"/>
      </w:pPr>
      <w:r>
        <w:rPr>
          <w:rFonts w:ascii="Calibri" w:hAnsi="Calibri"/>
          <w:color w:val="D6E4F0"/>
          <w:sz w:val="40"/>
        </w:rPr>
        <w:t>Project Closure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680"/>
          </w:tcPr>
          <w:p>
            <w:r>
              <w:t>v1.0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2026-05-26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680"/>
          </w:tcPr>
          <w:p>
            <w:r>
              <w:t>Movie Review App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680"/>
          </w:tcPr>
          <w:p>
            <w:r>
              <w:t>AI Dev Team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TOCHeading"/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rPr>
          <w:b/>
        </w:rPr>
        <w:t>STATUS: CLOSED — 2026-05-26 — Approved by Product Owner</w:t>
      </w:r>
    </w:p>
    <w:p>
      <w:r>
        <w:rPr>
          <w:b/>
        </w:rPr>
        <w:t>Document ID:</w:t>
      </w:r>
      <w:r>
        <w:t xml:space="preserve"> CLOSURE-1.0</w:t>
      </w:r>
    </w:p>
    <w:p>
      <w:r>
        <w:rPr>
          <w:b/>
        </w:rPr>
        <w:t>Owner:</w:t>
      </w:r>
      <w:r>
        <w:t xml:space="preserve"> tech-lead</w:t>
      </w:r>
    </w:p>
    <w:p>
      <w:r>
        <w:rPr>
          <w:b/>
        </w:rPr>
        <w:t>Status:</w:t>
      </w:r>
      <w:r>
        <w:t xml:space="preserve"> COMPLETE</w:t>
      </w:r>
    </w:p>
    <w:p>
      <w:r>
        <w:rPr>
          <w:b/>
        </w:rPr>
        <w:t>Version:</w:t>
      </w:r>
      <w:r>
        <w:t xml:space="preserve"> 1.0</w:t>
      </w:r>
    </w:p>
    <w:p>
      <w:r>
        <w:rPr>
          <w:b/>
        </w:rPr>
        <w:t>Date:</w:t>
      </w:r>
      <w:r>
        <w:t xml:space="preserve"> 2026-05-26</w:t>
      </w:r>
    </w:p>
    <w:p>
      <w:r>
        <w:rPr>
          <w:b/>
        </w:rPr>
        <w:t>Produced by:</w:t>
      </w:r>
      <w:r>
        <w:t xml:space="preserve"> tech-lead (Phase 9 — Handover)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[Project Summary](#1-project-summary)</w:t>
      </w:r>
    </w:p>
    <w:p>
      <w:pPr>
        <w:pStyle w:val="ListNumber"/>
      </w:pPr>
      <w:r>
        <w:t>[Phase Completion Log](#2-phase-completion-log)</w:t>
      </w:r>
    </w:p>
    <w:p>
      <w:pPr>
        <w:pStyle w:val="ListNumber"/>
      </w:pPr>
      <w:r>
        <w:t>[Project Metrics](#3-project-metrics)</w:t>
      </w:r>
    </w:p>
    <w:p>
      <w:pPr>
        <w:pStyle w:val="ListNumber"/>
      </w:pPr>
      <w:r>
        <w:t>[Requirements Traceability — Final Summary](#4-requirements-traceability--final-summary)</w:t>
      </w:r>
    </w:p>
    <w:p>
      <w:pPr>
        <w:pStyle w:val="ListNumber"/>
      </w:pPr>
      <w:r>
        <w:t>[Defect Log Summary](#5-defect-log-summary)</w:t>
      </w:r>
    </w:p>
    <w:p>
      <w:pPr>
        <w:pStyle w:val="ListNumber"/>
      </w:pPr>
      <w:r>
        <w:t>[Architecture and Technology Decisions Log](#6-architecture-and-technology-decisions-log)</w:t>
      </w:r>
    </w:p>
    <w:p>
      <w:pPr>
        <w:pStyle w:val="ListNumber"/>
      </w:pPr>
      <w:r>
        <w:t>[Deferred Items Backlog — v1.1 Candidates](#7-deferred-items-backlog--v11-candidates)</w:t>
      </w:r>
    </w:p>
    <w:p>
      <w:pPr>
        <w:pStyle w:val="ListNumber"/>
      </w:pPr>
      <w:r>
        <w:t>[Lessons Learned](#8-lessons-learned)</w:t>
      </w:r>
    </w:p>
    <w:p>
      <w:pPr>
        <w:pStyle w:val="ListNumber"/>
      </w:pPr>
      <w:r>
        <w:t>[Recommendations for v1.1](#9-recommendations-for-v11)</w:t>
      </w:r>
    </w:p>
    <w:p>
      <w:pPr>
        <w:pStyle w:val="ListNumber"/>
      </w:pPr>
      <w:r>
        <w:t>[Final Sign-Off Record](#10-final-sign-off-record)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1. Project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vAlign w:val="top"/>
          </w:tcPr>
          <w:p>
            <w:r>
              <w:t>Project Name</w:t>
            </w:r>
          </w:p>
        </w:tc>
        <w:tc>
          <w:tcPr>
            <w:tcW w:type="dxa" w:w="4680"/>
            <w:vAlign w:val="top"/>
          </w:tcPr>
          <w:p>
            <w:r>
              <w:t>Movie Review Application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Version Delivered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v1.0.0</w:t>
            </w:r>
          </w:p>
        </w:tc>
      </w:tr>
      <w:tr>
        <w:tc>
          <w:tcPr>
            <w:tcW w:type="dxa" w:w="4680"/>
            <w:vAlign w:val="top"/>
          </w:tcPr>
          <w:p>
            <w:r>
              <w:t>Product Owner</w:t>
            </w:r>
          </w:p>
        </w:tc>
        <w:tc>
          <w:tcPr>
            <w:tcW w:type="dxa" w:w="4680"/>
            <w:vAlign w:val="top"/>
          </w:tcPr>
          <w:p>
            <w:r>
              <w:t>rawaldinesh13@dsu.ac.kr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Delivery Method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Strict Waterfall SDLC, 9-phase, 11-agent</w:t>
            </w:r>
          </w:p>
        </w:tc>
      </w:tr>
      <w:tr>
        <w:tc>
          <w:tcPr>
            <w:tcW w:type="dxa" w:w="4680"/>
            <w:vAlign w:val="top"/>
          </w:tcPr>
          <w:p>
            <w:r>
              <w:t>Project Start Date</w:t>
            </w:r>
          </w:p>
        </w:tc>
        <w:tc>
          <w:tcPr>
            <w:tcW w:type="dxa" w:w="4680"/>
            <w:vAlign w:val="top"/>
          </w:tcPr>
          <w:p>
            <w:r>
              <w:t>2026-05-23 (Phase 1 — Initiation)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Production Deploy Date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2026-05-26 (Phase 8 — Deploy)</w:t>
            </w:r>
          </w:p>
        </w:tc>
      </w:tr>
      <w:tr>
        <w:tc>
          <w:tcPr>
            <w:tcW w:type="dxa" w:w="4680"/>
            <w:vAlign w:val="top"/>
          </w:tcPr>
          <w:p>
            <w:r>
              <w:t>Closure Date</w:t>
            </w:r>
          </w:p>
        </w:tc>
        <w:tc>
          <w:tcPr>
            <w:tcW w:type="dxa" w:w="4680"/>
            <w:vAlign w:val="top"/>
          </w:tcPr>
          <w:p>
            <w:r>
              <w:t>2026-05-26 (Phase 9 — Handover)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Total Duration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4 days (accelerated AI-assisted delivery)</w:t>
            </w:r>
          </w:p>
        </w:tc>
      </w:tr>
    </w:tbl>
    <w:p/>
    <w:p>
      <w:r>
        <w:rPr>
          <w:b/>
        </w:rPr>
        <w:t>Mission statement (from CHARTER.md):</w:t>
      </w:r>
      <w:r>
        <w:t xml:space="preserve"> Deliver a self-hosted web application where visitors discover films sourced from TMDB, registered users submit star ratings and text reviews, and administrators moderate content — deployed as a Docker Compose stack on a home server with full CI/CD via GitHub Actions.</w:t>
      </w:r>
    </w:p>
    <w:p>
      <w:r>
        <w:rPr>
          <w:b/>
        </w:rPr>
        <w:t>Delivery status:</w:t>
      </w:r>
      <w:r>
        <w:t xml:space="preserve"> All P0 and P1 requirements are TESTED-PASS (with three low-priority items formally deferred to v1.1 with Product Owner approval). The application reached production on 2026-05-26. All 9 phases completed and signed off.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2. Phase Completion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Start Date</w:t>
            </w:r>
          </w:p>
        </w:tc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Completion Date</w:t>
            </w:r>
          </w:p>
        </w:tc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Gate Status</w:t>
            </w:r>
          </w:p>
        </w:tc>
        <w:tc>
          <w:tcPr>
            <w:tcW w:type="dxa" w:w="156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Key Deliverables</w:t>
            </w:r>
          </w:p>
        </w:tc>
      </w:tr>
      <w:tr>
        <w:tc>
          <w:tcPr>
            <w:tcW w:type="dxa" w:w="1560"/>
            <w:vAlign w:val="top"/>
          </w:tcPr>
          <w:p>
            <w:r>
              <w:t>1</w:t>
            </w:r>
          </w:p>
        </w:tc>
        <w:tc>
          <w:tcPr>
            <w:tcW w:type="dxa" w:w="1560"/>
            <w:vAlign w:val="top"/>
          </w:tcPr>
          <w:p>
            <w:r>
              <w:t>Initiation</w:t>
            </w:r>
          </w:p>
        </w:tc>
        <w:tc>
          <w:tcPr>
            <w:tcW w:type="dxa" w:w="1560"/>
            <w:vAlign w:val="top"/>
          </w:tcPr>
          <w:p>
            <w:r>
              <w:t>2026-05-23</w:t>
            </w:r>
          </w:p>
        </w:tc>
        <w:tc>
          <w:tcPr>
            <w:tcW w:type="dxa" w:w="1560"/>
            <w:vAlign w:val="top"/>
          </w:tcPr>
          <w:p>
            <w:r>
              <w:t>2026-05-23</w:t>
            </w:r>
          </w:p>
        </w:tc>
        <w:tc>
          <w:tcPr>
            <w:tcW w:type="dxa" w:w="1560"/>
            <w:vAlign w:val="top"/>
          </w:tcPr>
          <w:p>
            <w:r>
              <w:t>SIGNED OFF</w:t>
            </w:r>
          </w:p>
        </w:tc>
        <w:tc>
          <w:tcPr>
            <w:tcW w:type="dxa" w:w="1560"/>
            <w:vAlign w:val="top"/>
          </w:tcPr>
          <w:p>
            <w:r>
              <w:t>CHARTER.md, INVENTORY.md</w:t>
            </w:r>
          </w:p>
        </w:tc>
      </w:tr>
      <w:tr>
        <w:tc>
          <w:tcPr>
            <w:tcW w:type="dxa" w:w="1560"/>
            <w:vAlign w:val="top"/>
            <w:shd w:val="clear" w:color="auto" w:fill="F2F7FF"/>
          </w:tcPr>
          <w:p>
            <w:r>
              <w:t>2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Requirements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2026-05-23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2026-05-23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SIGNED OFF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SRS.md (v1.0, 62 FRs, 32 NFRs)</w:t>
            </w:r>
          </w:p>
        </w:tc>
      </w:tr>
      <w:tr>
        <w:tc>
          <w:tcPr>
            <w:tcW w:type="dxa" w:w="1560"/>
            <w:vAlign w:val="top"/>
          </w:tcPr>
          <w:p>
            <w:r>
              <w:t>3</w:t>
            </w:r>
          </w:p>
        </w:tc>
        <w:tc>
          <w:tcPr>
            <w:tcW w:type="dxa" w:w="1560"/>
            <w:vAlign w:val="top"/>
          </w:tcPr>
          <w:p>
            <w:r>
              <w:t>Architecture</w:t>
            </w:r>
          </w:p>
        </w:tc>
        <w:tc>
          <w:tcPr>
            <w:tcW w:type="dxa" w:w="1560"/>
            <w:vAlign w:val="top"/>
          </w:tcPr>
          <w:p>
            <w:r>
              <w:t>2026-05-23</w:t>
            </w:r>
          </w:p>
        </w:tc>
        <w:tc>
          <w:tcPr>
            <w:tcW w:type="dxa" w:w="1560"/>
            <w:vAlign w:val="top"/>
          </w:tcPr>
          <w:p>
            <w:r>
              <w:t>2026-05-23</w:t>
            </w:r>
          </w:p>
        </w:tc>
        <w:tc>
          <w:tcPr>
            <w:tcW w:type="dxa" w:w="1560"/>
            <w:vAlign w:val="top"/>
          </w:tcPr>
          <w:p>
            <w:r>
              <w:t>SIGNED OFF</w:t>
            </w:r>
          </w:p>
        </w:tc>
        <w:tc>
          <w:tcPr>
            <w:tcW w:type="dxa" w:w="1560"/>
            <w:vAlign w:val="top"/>
          </w:tcPr>
          <w:p>
            <w:r>
              <w:t>HLD.md, ADR-001 through ADR-007</w:t>
            </w:r>
          </w:p>
        </w:tc>
      </w:tr>
      <w:tr>
        <w:tc>
          <w:tcPr>
            <w:tcW w:type="dxa" w:w="1560"/>
            <w:vAlign w:val="top"/>
            <w:shd w:val="clear" w:color="auto" w:fill="F2F7FF"/>
          </w:tcPr>
          <w:p>
            <w:r>
              <w:t>4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Detailed Design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2026-05-23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2026-05-24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SIGNED OFF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LLD.md, ERD.md, api-spec.yaml, wireframes.md, design-system.md</w:t>
            </w:r>
          </w:p>
        </w:tc>
      </w:tr>
      <w:tr>
        <w:tc>
          <w:tcPr>
            <w:tcW w:type="dxa" w:w="1560"/>
            <w:vAlign w:val="top"/>
          </w:tcPr>
          <w:p>
            <w:r>
              <w:t>5</w:t>
            </w:r>
          </w:p>
        </w:tc>
        <w:tc>
          <w:tcPr>
            <w:tcW w:type="dxa" w:w="1560"/>
            <w:vAlign w:val="top"/>
          </w:tcPr>
          <w:p>
            <w:r>
              <w:t>RTM Baseline</w:t>
            </w:r>
          </w:p>
        </w:tc>
        <w:tc>
          <w:tcPr>
            <w:tcW w:type="dxa" w:w="1560"/>
            <w:vAlign w:val="top"/>
          </w:tcPr>
          <w:p>
            <w:r>
              <w:t>2026-05-24</w:t>
            </w:r>
          </w:p>
        </w:tc>
        <w:tc>
          <w:tcPr>
            <w:tcW w:type="dxa" w:w="1560"/>
            <w:vAlign w:val="top"/>
          </w:tcPr>
          <w:p>
            <w:r>
              <w:t>2026-05-24</w:t>
            </w:r>
          </w:p>
        </w:tc>
        <w:tc>
          <w:tcPr>
            <w:tcW w:type="dxa" w:w="1560"/>
            <w:vAlign w:val="top"/>
          </w:tcPr>
          <w:p>
            <w:r>
              <w:t>SIGNED OFF</w:t>
            </w:r>
          </w:p>
        </w:tc>
        <w:tc>
          <w:tcPr>
            <w:tcW w:type="dxa" w:w="1560"/>
            <w:vAlign w:val="top"/>
          </w:tcPr>
          <w:p>
            <w:r>
              <w:t>RTM.md (v1.0), TEST-PLAN.md, 89 planned test cases</w:t>
            </w:r>
          </w:p>
        </w:tc>
      </w:tr>
      <w:tr>
        <w:tc>
          <w:tcPr>
            <w:tcW w:type="dxa" w:w="1560"/>
            <w:vAlign w:val="top"/>
            <w:shd w:val="clear" w:color="auto" w:fill="F2F7FF"/>
          </w:tcPr>
          <w:p>
            <w:r>
              <w:t>6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Build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2026-05-24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2026-05-26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SIGNED OFF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Full codebase (backend NestJS + frontend Next.js), Prisma migrations, CI pipeline</w:t>
            </w:r>
          </w:p>
        </w:tc>
      </w:tr>
      <w:tr>
        <w:tc>
          <w:tcPr>
            <w:tcW w:type="dxa" w:w="1560"/>
            <w:vAlign w:val="top"/>
          </w:tcPr>
          <w:p>
            <w:r>
              <w:t>7</w:t>
            </w:r>
          </w:p>
        </w:tc>
        <w:tc>
          <w:tcPr>
            <w:tcW w:type="dxa" w:w="1560"/>
            <w:vAlign w:val="top"/>
          </w:tcPr>
          <w:p>
            <w:r>
              <w:t>Test</w:t>
            </w:r>
          </w:p>
        </w:tc>
        <w:tc>
          <w:tcPr>
            <w:tcW w:type="dxa" w:w="1560"/>
            <w:vAlign w:val="top"/>
          </w:tcPr>
          <w:p>
            <w:r>
              <w:t>2026-05-26</w:t>
            </w:r>
          </w:p>
        </w:tc>
        <w:tc>
          <w:tcPr>
            <w:tcW w:type="dxa" w:w="1560"/>
            <w:vAlign w:val="top"/>
          </w:tcPr>
          <w:p>
            <w:r>
              <w:t>2026-05-26</w:t>
            </w:r>
          </w:p>
        </w:tc>
        <w:tc>
          <w:tcPr>
            <w:tcW w:type="dxa" w:w="1560"/>
            <w:vAlign w:val="top"/>
          </w:tcPr>
          <w:p>
            <w:r>
              <w:t>SIGNED OFF (UAT)</w:t>
            </w:r>
          </w:p>
        </w:tc>
        <w:tc>
          <w:tcPr>
            <w:tcW w:type="dxa" w:w="1560"/>
            <w:vAlign w:val="top"/>
          </w:tcPr>
          <w:p>
            <w:r>
              <w:t>System test report, 9 defects raised, 6 fixed, 3 deferred</w:t>
            </w:r>
          </w:p>
        </w:tc>
      </w:tr>
      <w:tr>
        <w:tc>
          <w:tcPr>
            <w:tcW w:type="dxa" w:w="1560"/>
            <w:vAlign w:val="top"/>
            <w:shd w:val="clear" w:color="auto" w:fill="F2F7FF"/>
          </w:tcPr>
          <w:p>
            <w:r>
              <w:t>8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Deploy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2026-05-26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2026-05-26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SIGNED OFF (GO-LIVE)</w:t>
            </w:r>
          </w:p>
        </w:tc>
        <w:tc>
          <w:tcPr>
            <w:tcW w:type="dxa" w:w="1560"/>
            <w:vAlign w:val="top"/>
            <w:shd w:val="clear" w:color="auto" w:fill="F2F7FF"/>
          </w:tcPr>
          <w:p>
            <w:r>
              <w:t>Docker Compose prod stack, runbooks, RELEASE-NOTES.md v1.0.0</w:t>
            </w:r>
          </w:p>
        </w:tc>
      </w:tr>
      <w:tr>
        <w:tc>
          <w:tcPr>
            <w:tcW w:type="dxa" w:w="1560"/>
            <w:vAlign w:val="top"/>
          </w:tcPr>
          <w:p>
            <w:r>
              <w:t>9</w:t>
            </w:r>
          </w:p>
        </w:tc>
        <w:tc>
          <w:tcPr>
            <w:tcW w:type="dxa" w:w="1560"/>
            <w:vAlign w:val="top"/>
          </w:tcPr>
          <w:p>
            <w:r>
              <w:t>Handover</w:t>
            </w:r>
          </w:p>
        </w:tc>
        <w:tc>
          <w:tcPr>
            <w:tcW w:type="dxa" w:w="1560"/>
            <w:vAlign w:val="top"/>
          </w:tcPr>
          <w:p>
            <w:r>
              <w:t>2026-05-26</w:t>
            </w:r>
          </w:p>
        </w:tc>
        <w:tc>
          <w:tcPr>
            <w:tcW w:type="dxa" w:w="1560"/>
            <w:vAlign w:val="top"/>
          </w:tcPr>
          <w:p>
            <w:r>
              <w:t>2026-05-26</w:t>
            </w:r>
          </w:p>
        </w:tc>
        <w:tc>
          <w:tcPr>
            <w:tcW w:type="dxa" w:w="1560"/>
            <w:vAlign w:val="top"/>
          </w:tcPr>
          <w:p>
            <w:r>
              <w:t>SIGNED OFF (CLOSURE)</w:t>
            </w:r>
          </w:p>
        </w:tc>
        <w:tc>
          <w:tcPr>
            <w:tcW w:type="dxa" w:w="1560"/>
            <w:vAlign w:val="top"/>
          </w:tcPr>
          <w:p>
            <w:r>
              <w:t>USER-GUIDE.md, API-REFERENCE.md, CLOSURE.md, INVENTORY.md v1.7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3. Project Metrics</w:t>
      </w:r>
    </w:p>
    <w:p>
      <w:pPr>
        <w:pStyle w:val="Heading3"/>
      </w:pPr>
      <w:r>
        <w:t>3.1 Scope Delivery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vAlign w:val="top"/>
          </w:tcPr>
          <w:p>
            <w:r>
              <w:t>Total requirements in SRS</w:t>
            </w:r>
          </w:p>
        </w:tc>
        <w:tc>
          <w:tcPr>
            <w:tcW w:type="dxa" w:w="4680"/>
            <w:vAlign w:val="top"/>
          </w:tcPr>
          <w:p>
            <w:r>
              <w:t>94 (62 functional + 32 non-functional)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P0 functional requirements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30</w:t>
            </w:r>
          </w:p>
        </w:tc>
      </w:tr>
      <w:tr>
        <w:tc>
          <w:tcPr>
            <w:tcW w:type="dxa" w:w="4680"/>
            <w:vAlign w:val="top"/>
          </w:tcPr>
          <w:p>
            <w:r>
              <w:t>P1 functional requirements</w:t>
            </w:r>
          </w:p>
        </w:tc>
        <w:tc>
          <w:tcPr>
            <w:tcW w:type="dxa" w:w="4680"/>
            <w:vAlign w:val="top"/>
          </w:tcPr>
          <w:p>
            <w:r>
              <w:t>27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P2 functional requirements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5</w:t>
            </w:r>
          </w:p>
        </w:tc>
      </w:tr>
      <w:tr>
        <w:tc>
          <w:tcPr>
            <w:tcW w:type="dxa" w:w="4680"/>
            <w:vAlign w:val="top"/>
          </w:tcPr>
          <w:p>
            <w:r>
              <w:t>P0 requirements — TESTED-PASS</w:t>
            </w:r>
          </w:p>
        </w:tc>
        <w:tc>
          <w:tcPr>
            <w:tcW w:type="dxa" w:w="4680"/>
            <w:vAlign w:val="top"/>
          </w:tcPr>
          <w:p>
            <w:r>
              <w:t>29 / 30 (96.7%)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P1 requirements — TESTED-PASS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21 / 27 (77.8% tested; 4 deferred P1, 1 partial/deferred)</w:t>
            </w:r>
          </w:p>
        </w:tc>
      </w:tr>
      <w:tr>
        <w:tc>
          <w:tcPr>
            <w:tcW w:type="dxa" w:w="4680"/>
            <w:vAlign w:val="top"/>
          </w:tcPr>
          <w:p>
            <w:r>
              <w:t>P2 requirements — shipped</w:t>
            </w:r>
          </w:p>
        </w:tc>
        <w:tc>
          <w:tcPr>
            <w:tcW w:type="dxa" w:w="4680"/>
            <w:vAlign w:val="top"/>
          </w:tcPr>
          <w:p>
            <w:r>
              <w:t>0 / 5 (all formally deferred — P2 is by definition deferrable)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Overall P0+P1 pass rate (executed cases)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50 PASS, 2 PARTIAL/FAIL (deferred) — 96.2%</w:t>
            </w:r>
          </w:p>
        </w:tc>
      </w:tr>
    </w:tbl>
    <w:p/>
    <w:p>
      <w:pPr>
        <w:pStyle w:val="Heading3"/>
      </w:pPr>
      <w:r>
        <w:t>3.2 Test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vAlign w:val="top"/>
          </w:tcPr>
          <w:p>
            <w:r>
              <w:t>Total planned test cases</w:t>
            </w:r>
          </w:p>
        </w:tc>
        <w:tc>
          <w:tcPr>
            <w:tcW w:type="dxa" w:w="4680"/>
            <w:vAlign w:val="top"/>
          </w:tcPr>
          <w:p>
            <w:r>
              <w:t>89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Total executed test cases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73</w:t>
            </w:r>
          </w:p>
        </w:tc>
      </w:tr>
      <w:tr>
        <w:tc>
          <w:tcPr>
            <w:tcW w:type="dxa" w:w="4680"/>
            <w:vAlign w:val="top"/>
          </w:tcPr>
          <w:p>
            <w:r>
              <w:t>Deferred test cases (require live environment)</w:t>
            </w:r>
          </w:p>
        </w:tc>
        <w:tc>
          <w:tcPr>
            <w:tcW w:type="dxa" w:w="4680"/>
            <w:vAlign w:val="top"/>
          </w:tcPr>
          <w:p>
            <w:r>
              <w:t>14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Executed pass rate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73 / 73 = 100%</w:t>
            </w:r>
          </w:p>
        </w:tc>
      </w:tr>
      <w:tr>
        <w:tc>
          <w:tcPr>
            <w:tcW w:type="dxa" w:w="4680"/>
            <w:vAlign w:val="top"/>
          </w:tcPr>
          <w:p>
            <w:r>
              <w:t>Backend unit test suite</w:t>
            </w:r>
          </w:p>
        </w:tc>
        <w:tc>
          <w:tcPr>
            <w:tcW w:type="dxa" w:w="4680"/>
            <w:vAlign w:val="top"/>
          </w:tcPr>
          <w:p>
            <w:r>
              <w:t>73 tests, 0 failures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Backend statement coverage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88.82% (requirement: &gt;= 80%)</w:t>
            </w:r>
          </w:p>
        </w:tc>
      </w:tr>
      <w:tr>
        <w:tc>
          <w:tcPr>
            <w:tcW w:type="dxa" w:w="4680"/>
            <w:vAlign w:val="top"/>
          </w:tcPr>
          <w:p>
            <w:r>
              <w:t>Coverage requirement (NFR-050)</w:t>
            </w:r>
          </w:p>
        </w:tc>
        <w:tc>
          <w:tcPr>
            <w:tcW w:type="dxa" w:w="4680"/>
            <w:vAlign w:val="top"/>
          </w:tcPr>
          <w:p>
            <w:r>
              <w:t>MET</w:t>
            </w:r>
          </w:p>
        </w:tc>
      </w:tr>
    </w:tbl>
    <w:p/>
    <w:p>
      <w:pPr>
        <w:pStyle w:val="Heading3"/>
      </w:pPr>
      <w:r>
        <w:t>3.3 Defect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vAlign w:val="top"/>
          </w:tcPr>
          <w:p>
            <w:r>
              <w:t>Total defects raised</w:t>
            </w:r>
          </w:p>
        </w:tc>
        <w:tc>
          <w:tcPr>
            <w:tcW w:type="dxa" w:w="4680"/>
            <w:vAlign w:val="top"/>
          </w:tcPr>
          <w:p>
            <w:r>
              <w:t>9 (DEF-001 through DEF-009)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P0 defects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0</w:t>
            </w:r>
          </w:p>
        </w:tc>
      </w:tr>
      <w:tr>
        <w:tc>
          <w:tcPr>
            <w:tcW w:type="dxa" w:w="4680"/>
            <w:vAlign w:val="top"/>
          </w:tcPr>
          <w:p>
            <w:r>
              <w:t>P1 defects</w:t>
            </w:r>
          </w:p>
        </w:tc>
        <w:tc>
          <w:tcPr>
            <w:tcW w:type="dxa" w:w="4680"/>
            <w:vAlign w:val="top"/>
          </w:tcPr>
          <w:p>
            <w:r>
              <w:t>1 (DEF-001 — fixed in fix cycle)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P2 defects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5 (DEF-002, DEF-003, DEF-004, DEF-005, DEF-009)</w:t>
            </w:r>
          </w:p>
        </w:tc>
      </w:tr>
      <w:tr>
        <w:tc>
          <w:tcPr>
            <w:tcW w:type="dxa" w:w="4680"/>
            <w:vAlign w:val="top"/>
          </w:tcPr>
          <w:p>
            <w:r>
              <w:t>P3 defects</w:t>
            </w:r>
          </w:p>
        </w:tc>
        <w:tc>
          <w:tcPr>
            <w:tcW w:type="dxa" w:w="4680"/>
            <w:vAlign w:val="top"/>
          </w:tcPr>
          <w:p>
            <w:r>
              <w:t>2 (DEF-007, DEF-008)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Defects fixed before go-live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6 (DEF-001, DEF-004, DEF-005, DEF-006, DEF-008, DEF-009)</w:t>
            </w:r>
          </w:p>
        </w:tc>
      </w:tr>
      <w:tr>
        <w:tc>
          <w:tcPr>
            <w:tcW w:type="dxa" w:w="4680"/>
            <w:vAlign w:val="top"/>
          </w:tcPr>
          <w:p>
            <w:r>
              <w:t>Defects deferred to v1.1</w:t>
            </w:r>
          </w:p>
        </w:tc>
        <w:tc>
          <w:tcPr>
            <w:tcW w:type="dxa" w:w="4680"/>
            <w:vAlign w:val="top"/>
          </w:tcPr>
          <w:p>
            <w:r>
              <w:t>3 (DEF-002 P2, DEF-003 P2, DEF-007 P3)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Open defects at closure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0 P0 / 0 P1 / 3 (deferred, low-priority)</w:t>
            </w:r>
          </w:p>
        </w:tc>
      </w:tr>
    </w:tbl>
    <w:p/>
    <w:p>
      <w:pPr>
        <w:pStyle w:val="Heading3"/>
      </w:pPr>
      <w:r>
        <w:t>3.4 Documentation Artifacts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vAlign w:val="top"/>
          </w:tcPr>
          <w:p>
            <w:r>
              <w:t>Total SDLC artifacts produced</w:t>
            </w:r>
          </w:p>
        </w:tc>
        <w:tc>
          <w:tcPr>
            <w:tcW w:type="dxa" w:w="4680"/>
            <w:vAlign w:val="top"/>
          </w:tcPr>
          <w:p>
            <w:r>
              <w:t>21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Artifacts signed off by Product Owner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21</w:t>
            </w:r>
          </w:p>
        </w:tc>
      </w:tr>
      <w:tr>
        <w:tc>
          <w:tcPr>
            <w:tcW w:type="dxa" w:w="4680"/>
            <w:vAlign w:val="top"/>
          </w:tcPr>
          <w:p>
            <w:r>
              <w:t>ADRs produced</w:t>
            </w:r>
          </w:p>
        </w:tc>
        <w:tc>
          <w:tcPr>
            <w:tcW w:type="dxa" w:w="4680"/>
            <w:vAlign w:val="top"/>
          </w:tcPr>
          <w:p>
            <w:r>
              <w:t>7 (ADR-001 through ADR-007)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Change requests raised post-SRS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0 (no scope changes required)</w:t>
            </w:r>
          </w:p>
        </w:tc>
      </w:tr>
    </w:tbl>
    <w:p/>
    <w:p>
      <w:pPr>
        <w:pStyle w:val="Heading3"/>
      </w:pPr>
      <w:r>
        <w:t>3.5 CI/CD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68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vAlign w:val="top"/>
          </w:tcPr>
          <w:p>
            <w:r>
              <w:t>CI pipeline</w:t>
            </w:r>
          </w:p>
        </w:tc>
        <w:tc>
          <w:tcPr>
            <w:tcW w:type="dxa" w:w="4680"/>
            <w:vAlign w:val="top"/>
          </w:tcPr>
          <w:p>
            <w:r>
              <w:t>GitHub Actions — lint, type-check, unit tests, integration tests, Docker build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ESLint errors at build sign-off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0</w:t>
            </w:r>
          </w:p>
        </w:tc>
      </w:tr>
      <w:tr>
        <w:tc>
          <w:tcPr>
            <w:tcW w:type="dxa" w:w="4680"/>
            <w:vAlign w:val="top"/>
          </w:tcPr>
          <w:p>
            <w:r>
              <w:t>TypeScript type errors at build sign-off</w:t>
            </w:r>
          </w:p>
        </w:tc>
        <w:tc>
          <w:tcPr>
            <w:tcW w:type="dxa" w:w="4680"/>
            <w:vAlign w:val="top"/>
          </w:tcPr>
          <w:p>
            <w:r>
              <w:t>0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Unit tests passing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73 / 73</w:t>
            </w:r>
          </w:p>
        </w:tc>
      </w:tr>
      <w:tr>
        <w:tc>
          <w:tcPr>
            <w:tcW w:type="dxa" w:w="4680"/>
            <w:vAlign w:val="top"/>
          </w:tcPr>
          <w:p>
            <w:r>
              <w:t>Integration tests</w:t>
            </w:r>
          </w:p>
        </w:tc>
        <w:tc>
          <w:tcPr>
            <w:tcW w:type="dxa" w:w="4680"/>
            <w:vAlign w:val="top"/>
          </w:tcPr>
          <w:p>
            <w:r>
              <w:t>Pass (Postgres + Redis service containers in CI)</w:t>
            </w:r>
          </w:p>
        </w:tc>
      </w:tr>
      <w:tr>
        <w:tc>
          <w:tcPr>
            <w:tcW w:type="dxa" w:w="4680"/>
            <w:vAlign w:val="top"/>
            <w:shd w:val="clear" w:color="auto" w:fill="F2F7FF"/>
          </w:tcPr>
          <w:p>
            <w:r>
              <w:t>Docker image build</w:t>
            </w:r>
          </w:p>
        </w:tc>
        <w:tc>
          <w:tcPr>
            <w:tcW w:type="dxa" w:w="4680"/>
            <w:vAlign w:val="top"/>
            <w:shd w:val="clear" w:color="auto" w:fill="F2F7FF"/>
          </w:tcPr>
          <w:p>
            <w:r>
              <w:t>Pass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4. Requirements Traceability — Final Summary</w:t>
      </w:r>
    </w:p>
    <w:p>
      <w:r>
        <w:t xml:space="preserve">The full RTM is maintained in </w:t>
      </w:r>
      <w:r>
        <w:rPr>
          <w:rFonts w:ascii="Courier New" w:hAnsi="Courier New"/>
          <w:sz w:val="20"/>
        </w:rPr>
        <w:t>/docs/RTM.md</w:t>
      </w:r>
      <w:r>
        <w:t xml:space="preserve"> (version 2.1, last updated 2026-05-26). This section provides the final high-level summary.</w:t>
      </w:r>
    </w:p>
    <w:p>
      <w:pPr>
        <w:pStyle w:val="Heading3"/>
      </w:pPr>
      <w:r>
        <w:t>Functional Requirements — Final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Total FRs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TESTED-PASS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PARTIAL/DEFERRED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872"/>
            <w:vAlign w:val="top"/>
          </w:tcPr>
          <w:p>
            <w:r>
              <w:t>Movie Browsing (FR-001–FR-006)</w:t>
            </w:r>
          </w:p>
        </w:tc>
        <w:tc>
          <w:tcPr>
            <w:tcW w:type="dxa" w:w="1872"/>
            <w:vAlign w:val="top"/>
          </w:tcPr>
          <w:p>
            <w:r>
              <w:t>6</w:t>
            </w:r>
          </w:p>
        </w:tc>
        <w:tc>
          <w:tcPr>
            <w:tcW w:type="dxa" w:w="1872"/>
            <w:vAlign w:val="top"/>
          </w:tcPr>
          <w:p>
            <w:r>
              <w:t>5</w:t>
            </w:r>
          </w:p>
        </w:tc>
        <w:tc>
          <w:tcPr>
            <w:tcW w:type="dxa" w:w="1872"/>
            <w:vAlign w:val="top"/>
          </w:tcPr>
          <w:p>
            <w:r>
              <w:t>1 deferred (FR-005, P2)</w:t>
            </w:r>
          </w:p>
        </w:tc>
        <w:tc>
          <w:tcPr>
            <w:tcW w:type="dxa" w:w="1872"/>
            <w:vAlign w:val="top"/>
          </w:tcPr>
          <w:p>
            <w:r>
              <w:t>CLOSED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Movie Search/Filter (FR-010–FR-016)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7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5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2 deferred (FR-011 perf, FR-015 P2)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CLOSED</w:t>
            </w:r>
          </w:p>
        </w:tc>
      </w:tr>
      <w:tr>
        <w:tc>
          <w:tcPr>
            <w:tcW w:type="dxa" w:w="1872"/>
            <w:vAlign w:val="top"/>
          </w:tcPr>
          <w:p>
            <w:r>
              <w:t>Movie Detail Page (FR-020–FR-028)</w:t>
            </w:r>
          </w:p>
        </w:tc>
        <w:tc>
          <w:tcPr>
            <w:tcW w:type="dxa" w:w="1872"/>
            <w:vAlign w:val="top"/>
          </w:tcPr>
          <w:p>
            <w:r>
              <w:t>9</w:t>
            </w:r>
          </w:p>
        </w:tc>
        <w:tc>
          <w:tcPr>
            <w:tcW w:type="dxa" w:w="1872"/>
            <w:vAlign w:val="top"/>
          </w:tcPr>
          <w:p>
            <w:r>
              <w:t>7</w:t>
            </w:r>
          </w:p>
        </w:tc>
        <w:tc>
          <w:tcPr>
            <w:tcW w:type="dxa" w:w="1872"/>
            <w:vAlign w:val="top"/>
          </w:tcPr>
          <w:p>
            <w:r>
              <w:t>1 fail/deferred (FR-027 DEF-007), 1 deferred (FR-028 v2.0)</w:t>
            </w:r>
          </w:p>
        </w:tc>
        <w:tc>
          <w:tcPr>
            <w:tcW w:type="dxa" w:w="1872"/>
            <w:vAlign w:val="top"/>
          </w:tcPr>
          <w:p>
            <w:r>
              <w:t>CLOSED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User Authentication (FR-030–FR-037)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8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8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0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CLOSED</w:t>
            </w:r>
          </w:p>
        </w:tc>
      </w:tr>
      <w:tr>
        <w:tc>
          <w:tcPr>
            <w:tcW w:type="dxa" w:w="1872"/>
            <w:vAlign w:val="top"/>
          </w:tcPr>
          <w:p>
            <w:r>
              <w:t>Star Ratings (FR-040–FR-045)</w:t>
            </w:r>
          </w:p>
        </w:tc>
        <w:tc>
          <w:tcPr>
            <w:tcW w:type="dxa" w:w="1872"/>
            <w:vAlign w:val="top"/>
          </w:tcPr>
          <w:p>
            <w:r>
              <w:t>6</w:t>
            </w:r>
          </w:p>
        </w:tc>
        <w:tc>
          <w:tcPr>
            <w:tcW w:type="dxa" w:w="1872"/>
            <w:vAlign w:val="top"/>
          </w:tcPr>
          <w:p>
            <w:r>
              <w:t>6</w:t>
            </w:r>
          </w:p>
        </w:tc>
        <w:tc>
          <w:tcPr>
            <w:tcW w:type="dxa" w:w="1872"/>
            <w:vAlign w:val="top"/>
          </w:tcPr>
          <w:p>
            <w:r>
              <w:t>0</w:t>
            </w:r>
          </w:p>
        </w:tc>
        <w:tc>
          <w:tcPr>
            <w:tcW w:type="dxa" w:w="1872"/>
            <w:vAlign w:val="top"/>
          </w:tcPr>
          <w:p>
            <w:r>
              <w:t>CLOSED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Text Reviews (FR-050–FR-058)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9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9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0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CLOSED</w:t>
            </w:r>
          </w:p>
        </w:tc>
      </w:tr>
      <w:tr>
        <w:tc>
          <w:tcPr>
            <w:tcW w:type="dxa" w:w="1872"/>
            <w:vAlign w:val="top"/>
          </w:tcPr>
          <w:p>
            <w:r>
              <w:t>User Profile (FR-060–FR-063)</w:t>
            </w:r>
          </w:p>
        </w:tc>
        <w:tc>
          <w:tcPr>
            <w:tcW w:type="dxa" w:w="1872"/>
            <w:vAlign w:val="top"/>
          </w:tcPr>
          <w:p>
            <w:r>
              <w:t>4</w:t>
            </w:r>
          </w:p>
        </w:tc>
        <w:tc>
          <w:tcPr>
            <w:tcW w:type="dxa" w:w="1872"/>
            <w:vAlign w:val="top"/>
          </w:tcPr>
          <w:p>
            <w:r>
              <w:t>2</w:t>
            </w:r>
          </w:p>
        </w:tc>
        <w:tc>
          <w:tcPr>
            <w:tcW w:type="dxa" w:w="1872"/>
            <w:vAlign w:val="top"/>
          </w:tcPr>
          <w:p>
            <w:r>
              <w:t>1 partial/deferred (FR-062 DEF-002), 1 deferred (FR-063 P2)</w:t>
            </w:r>
          </w:p>
        </w:tc>
        <w:tc>
          <w:tcPr>
            <w:tcW w:type="dxa" w:w="1872"/>
            <w:vAlign w:val="top"/>
          </w:tcPr>
          <w:p>
            <w:r>
              <w:t>CLOSED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Admin Moderation (FR-070–FR-076)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7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7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0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CLOSED</w:t>
            </w:r>
          </w:p>
        </w:tc>
      </w:tr>
      <w:tr>
        <w:tc>
          <w:tcPr>
            <w:tcW w:type="dxa" w:w="1872"/>
            <w:vAlign w:val="top"/>
          </w:tcPr>
          <w:p>
            <w:r>
              <w:t>Admin Movie Mgmt (FR-080–FR-085)</w:t>
            </w:r>
          </w:p>
        </w:tc>
        <w:tc>
          <w:tcPr>
            <w:tcW w:type="dxa" w:w="1872"/>
            <w:vAlign w:val="top"/>
          </w:tcPr>
          <w:p>
            <w:r>
              <w:t>6</w:t>
            </w:r>
          </w:p>
        </w:tc>
        <w:tc>
          <w:tcPr>
            <w:tcW w:type="dxa" w:w="1872"/>
            <w:vAlign w:val="top"/>
          </w:tcPr>
          <w:p>
            <w:r>
              <w:t>5</w:t>
            </w:r>
          </w:p>
        </w:tc>
        <w:tc>
          <w:tcPr>
            <w:tcW w:type="dxa" w:w="1872"/>
            <w:vAlign w:val="top"/>
          </w:tcPr>
          <w:p>
            <w:r>
              <w:t>1 deferred (FR-083 P2)</w:t>
            </w:r>
          </w:p>
        </w:tc>
        <w:tc>
          <w:tcPr>
            <w:tcW w:type="dxa" w:w="1872"/>
            <w:vAlign w:val="top"/>
          </w:tcPr>
          <w:p>
            <w:r>
              <w:t>CLOSED</w:t>
            </w:r>
          </w:p>
        </w:tc>
      </w:tr>
    </w:tbl>
    <w:p/>
    <w:p>
      <w:r>
        <w:t>All P0 and P1 functional requirements are either TESTED-PASS or formally deferred with Product Owner approval. No P0 requirement is unmet.</w:t>
      </w:r>
    </w:p>
    <w:p>
      <w:pPr>
        <w:pStyle w:val="Heading3"/>
      </w:pPr>
      <w:r>
        <w:t>Non-Functional Requirements — Final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Verified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Deferred</w:t>
            </w:r>
          </w:p>
        </w:tc>
      </w:tr>
      <w:tr>
        <w:tc>
          <w:tcPr>
            <w:tcW w:type="dxa" w:w="3120"/>
            <w:vAlign w:val="top"/>
          </w:tcPr>
          <w:p>
            <w:r>
              <w:t>Performance (NFR-001–004)</w:t>
            </w:r>
          </w:p>
        </w:tc>
        <w:tc>
          <w:tcPr>
            <w:tcW w:type="dxa" w:w="3120"/>
            <w:vAlign w:val="top"/>
          </w:tcPr>
          <w:p>
            <w:r>
              <w:t>NFR-003 (cache TTL), NFR-011 (stateless)</w:t>
            </w:r>
          </w:p>
        </w:tc>
        <w:tc>
          <w:tcPr>
            <w:tcW w:type="dxa" w:w="3120"/>
            <w:vAlign w:val="top"/>
          </w:tcPr>
          <w:p>
            <w:r>
              <w:t>NFR-001, NFR-002, NFR-004 (require live k6 tests)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Security (NFR-020–028)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NFR-020 through NFR-027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NFR-028 (OWASP ZAP live scan)</w:t>
            </w:r>
          </w:p>
        </w:tc>
      </w:tr>
      <w:tr>
        <w:tc>
          <w:tcPr>
            <w:tcW w:type="dxa" w:w="3120"/>
            <w:vAlign w:val="top"/>
          </w:tcPr>
          <w:p>
            <w:r>
              <w:t>Accessibility (NFR-030–034)</w:t>
            </w:r>
          </w:p>
        </w:tc>
        <w:tc>
          <w:tcPr>
            <w:tcW w:type="dxa" w:w="3120"/>
            <w:vAlign w:val="top"/>
          </w:tcPr>
          <w:p>
            <w:r>
              <w:t>NFR-031 (keyboard/ARIA), NFR-032 (alt text), NFR-034 (focus indicators)</w:t>
            </w:r>
          </w:p>
        </w:tc>
        <w:tc>
          <w:tcPr>
            <w:tcW w:type="dxa" w:w="3120"/>
            <w:vAlign w:val="top"/>
          </w:tcPr>
          <w:p>
            <w:r>
              <w:t>NFR-030, NFR-033 (require live axe-core scan)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Availability (NFR-040–043)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NFR-041 (TMDB degradation), NFR-042 (container restart)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NFR-040 (30-day uptime monitoring), NFR-043 (backup verification)</w:t>
            </w:r>
          </w:p>
        </w:tc>
      </w:tr>
      <w:tr>
        <w:tc>
          <w:tcPr>
            <w:tcW w:type="dxa" w:w="3120"/>
            <w:vAlign w:val="top"/>
          </w:tcPr>
          <w:p>
            <w:r>
              <w:t>Maintainability (NFR-050–053)</w:t>
            </w:r>
          </w:p>
        </w:tc>
        <w:tc>
          <w:tcPr>
            <w:tcW w:type="dxa" w:w="3120"/>
            <w:vAlign w:val="top"/>
          </w:tcPr>
          <w:p>
            <w:r>
              <w:t>NFR-050 (88.82% coverage), NFR-051 (lint), NFR-052 (env config), NFR-053 (structured logs)</w:t>
            </w:r>
          </w:p>
        </w:tc>
        <w:tc>
          <w:tcPr>
            <w:tcW w:type="dxa" w:w="3120"/>
            <w:vAlign w:val="top"/>
          </w:tcPr>
          <w:p>
            <w:r>
              <w:t>None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GDPR (NFR-060–063)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NFR-060 (min data), NFR-061 (partial — DEF-002), NFR-063 (privacy notice)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NFR-062 (data export, P2)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5. Defect Log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Defect ID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Resolution</w:t>
            </w:r>
          </w:p>
        </w:tc>
        <w:tc>
          <w:tcPr>
            <w:tcW w:type="dxa" w:w="1872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872"/>
            <w:vAlign w:val="top"/>
          </w:tcPr>
          <w:p>
            <w:r>
              <w:t>DEF-001</w:t>
            </w:r>
          </w:p>
        </w:tc>
        <w:tc>
          <w:tcPr>
            <w:tcW w:type="dxa" w:w="1872"/>
            <w:vAlign w:val="top"/>
          </w:tcPr>
          <w:p>
            <w:r>
              <w:t>P1</w:t>
            </w:r>
          </w:p>
        </w:tc>
        <w:tc>
          <w:tcPr>
            <w:tcW w:type="dxa" w:w="1872"/>
            <w:vAlign w:val="top"/>
          </w:tcPr>
          <w:p>
            <w:r>
              <w:t>Cookie SameSite set to Lax instead of Strict</w:t>
            </w:r>
          </w:p>
        </w:tc>
        <w:tc>
          <w:tcPr>
            <w:tcW w:type="dxa" w:w="1872"/>
            <w:vAlign w:val="top"/>
          </w:tcPr>
          <w:p>
            <w:r>
              <w:t>Fixed: SameSite=Strict applied to all auth cookies</w:t>
            </w:r>
          </w:p>
        </w:tc>
        <w:tc>
          <w:tcPr>
            <w:tcW w:type="dxa" w:w="1872"/>
            <w:vAlign w:val="top"/>
          </w:tcPr>
          <w:p>
            <w:r>
              <w:t>CLOSED-FIXED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DEF-002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P2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Account deletion hard-deletes user row (should soft-delete)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Deferred: GDPR erasure of associated data correct; user row audit trail deferred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DEFERRED-v1.1</w:t>
            </w:r>
          </w:p>
        </w:tc>
      </w:tr>
      <w:tr>
        <w:tc>
          <w:tcPr>
            <w:tcW w:type="dxa" w:w="1872"/>
            <w:vAlign w:val="top"/>
          </w:tcPr>
          <w:p>
            <w:r>
              <w:t>DEF-003</w:t>
            </w:r>
          </w:p>
        </w:tc>
        <w:tc>
          <w:tcPr>
            <w:tcW w:type="dxa" w:w="1872"/>
            <w:vAlign w:val="top"/>
          </w:tcPr>
          <w:p>
            <w:r>
              <w:t>P2</w:t>
            </w:r>
          </w:p>
        </w:tc>
        <w:tc>
          <w:tcPr>
            <w:tcW w:type="dxa" w:w="1872"/>
            <w:vAlign w:val="top"/>
          </w:tcPr>
          <w:p>
            <w:r>
              <w:t>Admin hide/restore endpoint uses POST instead of PATCH (spec mismatch)</w:t>
            </w:r>
          </w:p>
        </w:tc>
        <w:tc>
          <w:tcPr>
            <w:tcW w:type="dxa" w:w="1872"/>
            <w:vAlign w:val="top"/>
          </w:tcPr>
          <w:p>
            <w:r>
              <w:t>Deferred: functionality correct; API contract alignment deferred</w:t>
            </w:r>
          </w:p>
        </w:tc>
        <w:tc>
          <w:tcPr>
            <w:tcW w:type="dxa" w:w="1872"/>
            <w:vAlign w:val="top"/>
          </w:tcPr>
          <w:p>
            <w:r>
              <w:t>DEFERRED-v1.1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DEF-004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P2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Public profile endpoint GET /users/{userId} not implemented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Fixed: endpoint implemented; UserPublic schema returned correctly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CLOSED-FIXED</w:t>
            </w:r>
          </w:p>
        </w:tc>
      </w:tr>
      <w:tr>
        <w:tc>
          <w:tcPr>
            <w:tcW w:type="dxa" w:w="1872"/>
            <w:vAlign w:val="top"/>
          </w:tcPr>
          <w:p>
            <w:r>
              <w:t>DEF-005</w:t>
            </w:r>
          </w:p>
        </w:tc>
        <w:tc>
          <w:tcPr>
            <w:tcW w:type="dxa" w:w="1872"/>
            <w:vAlign w:val="top"/>
          </w:tcPr>
          <w:p>
            <w:r>
              <w:t>P2</w:t>
            </w:r>
          </w:p>
        </w:tc>
        <w:tc>
          <w:tcPr>
            <w:tcW w:type="dxa" w:w="1872"/>
            <w:vAlign w:val="top"/>
          </w:tcPr>
          <w:p>
            <w:r>
              <w:t xml:space="preserve">CreateReviewDto field named </w:t>
            </w:r>
            <w:r>
              <w:rPr>
                <w:rFonts w:ascii="Courier New" w:hAnsi="Courier New"/>
                <w:sz w:val="20"/>
              </w:rPr>
              <w:t>content</w:t>
            </w:r>
            <w:r>
              <w:t xml:space="preserve"> but spec uses </w:t>
            </w:r>
            <w:r>
              <w:rPr>
                <w:rFonts w:ascii="Courier New" w:hAnsi="Courier New"/>
                <w:sz w:val="20"/>
              </w:rPr>
              <w:t>body</w:t>
            </w:r>
          </w:p>
        </w:tc>
        <w:tc>
          <w:tcPr>
            <w:tcW w:type="dxa" w:w="1872"/>
            <w:vAlign w:val="top"/>
          </w:tcPr>
          <w:p>
            <w:r>
              <w:t xml:space="preserve">Fixed: DTO field renamed to </w:t>
            </w:r>
            <w:r>
              <w:rPr>
                <w:rFonts w:ascii="Courier New" w:hAnsi="Courier New"/>
                <w:sz w:val="20"/>
              </w:rPr>
              <w:t>body</w:t>
            </w:r>
            <w:r>
              <w:t>; API contract aligned</w:t>
            </w:r>
          </w:p>
        </w:tc>
        <w:tc>
          <w:tcPr>
            <w:tcW w:type="dxa" w:w="1872"/>
            <w:vAlign w:val="top"/>
          </w:tcPr>
          <w:p>
            <w:r>
              <w:t>CLOSED-FIXED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DEF-006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P2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Runtime, director, cast fields not rendered on frontend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Fixed: fields wired to frontend movie detail component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CLOSED-FIXED</w:t>
            </w:r>
          </w:p>
        </w:tc>
      </w:tr>
      <w:tr>
        <w:tc>
          <w:tcPr>
            <w:tcW w:type="dxa" w:w="1872"/>
            <w:vAlign w:val="top"/>
          </w:tcPr>
          <w:p>
            <w:r>
              <w:t>DEF-007</w:t>
            </w:r>
          </w:p>
        </w:tc>
        <w:tc>
          <w:tcPr>
            <w:tcW w:type="dxa" w:w="1872"/>
            <w:vAlign w:val="top"/>
          </w:tcPr>
          <w:p>
            <w:r>
              <w:t>P3</w:t>
            </w:r>
          </w:p>
        </w:tc>
        <w:tc>
          <w:tcPr>
            <w:tcW w:type="dxa" w:w="1872"/>
            <w:vAlign w:val="top"/>
          </w:tcPr>
          <w:p>
            <w:r>
              <w:t>Trailer URL not extracted from TMDB, stored, or displayed</w:t>
            </w:r>
          </w:p>
        </w:tc>
        <w:tc>
          <w:tcPr>
            <w:tcW w:type="dxa" w:w="1872"/>
            <w:vAlign w:val="top"/>
          </w:tcPr>
          <w:p>
            <w:r>
              <w:t>Deferred: FR-027 (YouTube trailer) deferred to v1.1</w:t>
            </w:r>
          </w:p>
        </w:tc>
        <w:tc>
          <w:tcPr>
            <w:tcW w:type="dxa" w:w="1872"/>
            <w:vAlign w:val="top"/>
          </w:tcPr>
          <w:p>
            <w:r>
              <w:t>DEFERRED-v1.1</w:t>
            </w:r>
          </w:p>
        </w:tc>
      </w:tr>
      <w:tr>
        <w:tc>
          <w:tcPr>
            <w:tcW w:type="dxa" w:w="1872"/>
            <w:vAlign w:val="top"/>
            <w:shd w:val="clear" w:color="auto" w:fill="F2F7FF"/>
          </w:tcPr>
          <w:p>
            <w:r>
              <w:t>DEF-008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P3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Release year not displayed on movie browse cards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Fixed: releaseYear field added to movie-card.tsx</w:t>
            </w:r>
          </w:p>
        </w:tc>
        <w:tc>
          <w:tcPr>
            <w:tcW w:type="dxa" w:w="1872"/>
            <w:vAlign w:val="top"/>
            <w:shd w:val="clear" w:color="auto" w:fill="F2F7FF"/>
          </w:tcPr>
          <w:p>
            <w:r>
              <w:t>CLOSED-FIXED</w:t>
            </w:r>
          </w:p>
        </w:tc>
      </w:tr>
      <w:tr>
        <w:tc>
          <w:tcPr>
            <w:tcW w:type="dxa" w:w="1872"/>
            <w:vAlign w:val="top"/>
          </w:tcPr>
          <w:p>
            <w:r>
              <w:t>DEF-009</w:t>
            </w:r>
          </w:p>
        </w:tc>
        <w:tc>
          <w:tcPr>
            <w:tcW w:type="dxa" w:w="1872"/>
            <w:vAlign w:val="top"/>
          </w:tcPr>
          <w:p>
            <w:r>
              <w:t>P2</w:t>
            </w:r>
          </w:p>
        </w:tc>
        <w:tc>
          <w:tcPr>
            <w:tcW w:type="dxa" w:w="1872"/>
            <w:vAlign w:val="top"/>
          </w:tcPr>
          <w:p>
            <w:r>
              <w:t>Admin full moderation queue GET /admin/reviews not implemented</w:t>
            </w:r>
          </w:p>
        </w:tc>
        <w:tc>
          <w:tcPr>
            <w:tcW w:type="dxa" w:w="1872"/>
            <w:vAlign w:val="top"/>
          </w:tcPr>
          <w:p>
            <w:r>
              <w:t>Fixed: endpoint implemented with filter support; flagCount present in response</w:t>
            </w:r>
          </w:p>
        </w:tc>
        <w:tc>
          <w:tcPr>
            <w:tcW w:type="dxa" w:w="1872"/>
            <w:vAlign w:val="top"/>
          </w:tcPr>
          <w:p>
            <w:r>
              <w:t>CLOSED-FIXED</w:t>
            </w:r>
          </w:p>
        </w:tc>
      </w:tr>
    </w:tbl>
    <w:p/>
    <w:p>
      <w:r>
        <w:rPr>
          <w:b/>
        </w:rPr>
        <w:t>Summary:</w:t>
      </w:r>
      <w:r>
        <w:t xml:space="preserve"> 9 defects raised, 6 closed as fixed, 3 deferred to v1.1 with Product Owner approval. No P0 defects were raised at any point during Phase 7 testing.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6. Architecture and Technology Decisions Log</w:t>
      </w:r>
    </w:p>
    <w:p>
      <w:r>
        <w:t xml:space="preserve">All Architecture Decision Records are stored in </w:t>
      </w:r>
      <w:r>
        <w:rPr>
          <w:rFonts w:ascii="Courier New" w:hAnsi="Courier New"/>
          <w:sz w:val="20"/>
        </w:rPr>
        <w:t>/docs/ADRs/</w:t>
      </w:r>
      <w:r>
        <w:t>. This section summarises the key decisions for closure reference.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ADR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Rationale Summary</w:t>
            </w:r>
          </w:p>
        </w:tc>
      </w:tr>
      <w:tr>
        <w:tc>
          <w:tcPr>
            <w:tcW w:type="dxa" w:w="3120"/>
            <w:vAlign w:val="top"/>
          </w:tcPr>
          <w:p>
            <w:r>
              <w:t>ADR-001</w:t>
            </w:r>
          </w:p>
        </w:tc>
        <w:tc>
          <w:tcPr>
            <w:tcW w:type="dxa" w:w="3120"/>
            <w:vAlign w:val="top"/>
          </w:tcPr>
          <w:p>
            <w:r>
              <w:t>Frontend: Next.js 14 (App Router) + TypeScript</w:t>
            </w:r>
          </w:p>
        </w:tc>
        <w:tc>
          <w:tcPr>
            <w:tcW w:type="dxa" w:w="3120"/>
            <w:vAlign w:val="top"/>
          </w:tcPr>
          <w:p>
            <w:r>
              <w:t>SSR for performance (NFR-001), React 18 ecosystem, TypeScript mandate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ADR-002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Backend: NestJS 10 + TypeScript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Structured modular architecture, first-class TypeScript, Passport.js integration, built-in dependency injection</w:t>
            </w:r>
          </w:p>
        </w:tc>
      </w:tr>
      <w:tr>
        <w:tc>
          <w:tcPr>
            <w:tcW w:type="dxa" w:w="3120"/>
            <w:vAlign w:val="top"/>
          </w:tcPr>
          <w:p>
            <w:r>
              <w:t>ADR-003</w:t>
            </w:r>
          </w:p>
        </w:tc>
        <w:tc>
          <w:tcPr>
            <w:tcW w:type="dxa" w:w="3120"/>
            <w:vAlign w:val="top"/>
          </w:tcPr>
          <w:p>
            <w:r>
              <w:t>ORM: Prisma 5 on PostgreSQL 16</w:t>
            </w:r>
          </w:p>
        </w:tc>
        <w:tc>
          <w:tcPr>
            <w:tcW w:type="dxa" w:w="3120"/>
            <w:vAlign w:val="top"/>
          </w:tcPr>
          <w:p>
            <w:r>
              <w:t>Type-safe queries, migration management, parameterized SQL by default (NFR-023), active schema-as-code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ADR-004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Caching: Redis 7 (via @nestjs/cache-manager)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Sub-millisecond TMDB cache hits, refresh token revocation, rate limit counters — all in one service</w:t>
            </w:r>
          </w:p>
        </w:tc>
      </w:tr>
      <w:tr>
        <w:tc>
          <w:tcPr>
            <w:tcW w:type="dxa" w:w="3120"/>
            <w:vAlign w:val="top"/>
          </w:tcPr>
          <w:p>
            <w:r>
              <w:t>ADR-005</w:t>
            </w:r>
          </w:p>
        </w:tc>
        <w:tc>
          <w:tcPr>
            <w:tcW w:type="dxa" w:w="3120"/>
            <w:vAlign w:val="top"/>
          </w:tcPr>
          <w:p>
            <w:r>
              <w:t>TMDB Integration: Cache-aside pattern with Redis TTL=3600s</w:t>
            </w:r>
          </w:p>
        </w:tc>
        <w:tc>
          <w:tcPr>
            <w:tcW w:type="dxa" w:w="3120"/>
            <w:vAlign w:val="top"/>
          </w:tcPr>
          <w:p>
            <w:r>
              <w:t>Protects TMDB free-tier rate limits, supports graceful degradation (NFR-041), NFR-003 compliance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ADR-006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Auth: Google OAuth 2.0 + JWT (httpOnly cookies, SameSite=Strict) + CSRF double-submit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Matches SRS constraint (CON-002), NFR-020 compliance, stateless API (NFR-011), PKCE for OAuth security</w:t>
            </w:r>
          </w:p>
        </w:tc>
      </w:tr>
      <w:tr>
        <w:tc>
          <w:tcPr>
            <w:tcW w:type="dxa" w:w="3120"/>
            <w:vAlign w:val="top"/>
          </w:tcPr>
          <w:p>
            <w:r>
              <w:t>ADR-007</w:t>
            </w:r>
          </w:p>
        </w:tc>
        <w:tc>
          <w:tcPr>
            <w:tcW w:type="dxa" w:w="3120"/>
            <w:vAlign w:val="top"/>
          </w:tcPr>
          <w:p>
            <w:r>
              <w:t>Deployment: Docker Compose (single host) + GitHub Actions CI/CD</w:t>
            </w:r>
          </w:p>
        </w:tc>
        <w:tc>
          <w:tcPr>
            <w:tcW w:type="dxa" w:w="3120"/>
            <w:vAlign w:val="top"/>
          </w:tcPr>
          <w:p>
            <w:r>
              <w:t>Matches constraint CON-001, simple operator model for home server, supports future horizontal scaling</w:t>
            </w:r>
          </w:p>
        </w:tc>
      </w:tr>
    </w:tbl>
    <w:p/>
    <w:p>
      <w:r>
        <w:t>No post-SRS Change Requests were raised. All architecture decisions held through delivery without scope revision.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7. Deferred Items Backlog — v1.1 Candidates</w:t>
      </w:r>
    </w:p>
    <w:p>
      <w:r>
        <w:t>The following items were formally deferred during the project with Product Owner approval. They are recommended for v1.1 prioritisation.</w:t>
      </w:r>
    </w:p>
    <w:p>
      <w:pPr>
        <w:pStyle w:val="Heading3"/>
      </w:pPr>
      <w:r>
        <w:t>Functional Defects (from Phase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Requirement(s)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Effort Estimate</w:t>
            </w:r>
          </w:p>
        </w:tc>
      </w:tr>
      <w:tr>
        <w:tc>
          <w:tcPr>
            <w:tcW w:type="dxa" w:w="2340"/>
            <w:vAlign w:val="top"/>
          </w:tcPr>
          <w:p>
            <w:r>
              <w:t>DEF-002</w:t>
            </w:r>
          </w:p>
        </w:tc>
        <w:tc>
          <w:tcPr>
            <w:tcW w:type="dxa" w:w="2340"/>
            <w:vAlign w:val="top"/>
          </w:tcPr>
          <w:p>
            <w:r>
              <w:t>FR-062, NFR-061</w:t>
            </w:r>
          </w:p>
        </w:tc>
        <w:tc>
          <w:tcPr>
            <w:tcW w:type="dxa" w:w="2340"/>
            <w:vAlign w:val="top"/>
          </w:tcPr>
          <w:p>
            <w:r>
              <w:t>User account deletion should soft-delete the user row to preserve audit trail while still erasing associated personal data</w:t>
            </w:r>
          </w:p>
        </w:tc>
        <w:tc>
          <w:tcPr>
            <w:tcW w:type="dxa" w:w="2340"/>
            <w:vAlign w:val="top"/>
          </w:tcPr>
          <w:p>
            <w:r>
              <w:t xml:space="preserve">Low — change </w:t>
            </w:r>
            <w:r>
              <w:rPr>
                <w:rFonts w:ascii="Courier New" w:hAnsi="Courier New"/>
                <w:sz w:val="20"/>
              </w:rPr>
              <w:t>deleteOwnAccount</w:t>
            </w:r>
            <w:r>
              <w:t xml:space="preserve"> to set </w:t>
            </w:r>
            <w:r>
              <w:rPr>
                <w:rFonts w:ascii="Courier New" w:hAnsi="Courier New"/>
                <w:sz w:val="20"/>
              </w:rPr>
              <w:t>deleted_at</w:t>
            </w:r>
            <w:r>
              <w:t xml:space="preserve"> instead of hard-delete; adjust login guard to reject soft-deleted users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DEF-003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FR-072, FR-073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Admin hide/restore endpoint uses POST instead of PATCH, mismatching the api-spec.yaml OpenAPI contract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Low — rename route method in admin controller; update api-spec.yaml and clients</w:t>
            </w:r>
          </w:p>
        </w:tc>
      </w:tr>
      <w:tr>
        <w:tc>
          <w:tcPr>
            <w:tcW w:type="dxa" w:w="2340"/>
            <w:vAlign w:val="top"/>
          </w:tcPr>
          <w:p>
            <w:r>
              <w:t>DEF-007</w:t>
            </w:r>
          </w:p>
        </w:tc>
        <w:tc>
          <w:tcPr>
            <w:tcW w:type="dxa" w:w="2340"/>
            <w:vAlign w:val="top"/>
          </w:tcPr>
          <w:p>
            <w:r>
              <w:t>FR-027</w:t>
            </w:r>
          </w:p>
        </w:tc>
        <w:tc>
          <w:tcPr>
            <w:tcW w:type="dxa" w:w="2340"/>
            <w:vAlign w:val="top"/>
          </w:tcPr>
          <w:p>
            <w:r>
              <w:t>Trailer URL not extracted from TMDB API response, not stored in database, and not rendered on the movie detail frontend page</w:t>
            </w:r>
          </w:p>
        </w:tc>
        <w:tc>
          <w:tcPr>
            <w:tcW w:type="dxa" w:w="2340"/>
            <w:vAlign w:val="top"/>
          </w:tcPr>
          <w:p>
            <w:r>
              <w:t xml:space="preserve">Medium — update TMDBService transformer to extract </w:t>
            </w:r>
            <w:r>
              <w:rPr>
                <w:rFonts w:ascii="Courier New" w:hAnsi="Courier New"/>
                <w:sz w:val="20"/>
              </w:rPr>
              <w:t>videos.results[0].key</w:t>
            </w:r>
            <w:r>
              <w:t xml:space="preserve">; add </w:t>
            </w:r>
            <w:r>
              <w:rPr>
                <w:rFonts w:ascii="Courier New" w:hAnsi="Courier New"/>
                <w:sz w:val="20"/>
              </w:rPr>
              <w:t>trailer_url</w:t>
            </w:r>
            <w:r>
              <w:t xml:space="preserve"> upsert in MoviesService; add trailer link component to frontend movie detail page</w:t>
            </w:r>
          </w:p>
        </w:tc>
      </w:tr>
    </w:tbl>
    <w:p/>
    <w:p>
      <w:pPr>
        <w:pStyle w:val="Heading3"/>
      </w:pPr>
      <w:r>
        <w:t>Deferred Functional Requirements (P2)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FR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Effort Estimate</w:t>
            </w:r>
          </w:p>
        </w:tc>
      </w:tr>
      <w:tr>
        <w:tc>
          <w:tcPr>
            <w:tcW w:type="dxa" w:w="3120"/>
            <w:vAlign w:val="top"/>
          </w:tcPr>
          <w:p>
            <w:r>
              <w:t>FR-005</w:t>
            </w:r>
          </w:p>
        </w:tc>
        <w:tc>
          <w:tcPr>
            <w:tcW w:type="dxa" w:w="3120"/>
            <w:vAlign w:val="top"/>
          </w:tcPr>
          <w:p>
            <w:r>
              <w:t>"Top Rated" section on home page (TMDB top-rated endpoint)</w:t>
            </w:r>
          </w:p>
        </w:tc>
        <w:tc>
          <w:tcPr>
            <w:tcW w:type="dxa" w:w="3120"/>
            <w:vAlign w:val="top"/>
          </w:tcPr>
          <w:p>
            <w:r>
              <w:t xml:space="preserve">Low — add </w:t>
            </w:r>
            <w:r>
              <w:rPr>
                <w:rFonts w:ascii="Courier New" w:hAnsi="Courier New"/>
                <w:sz w:val="20"/>
              </w:rPr>
              <w:t>sort=top_rated</w:t>
            </w:r>
            <w:r>
              <w:t xml:space="preserve"> query to TMDBService; add UI section on home page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FR-015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Sort browse/search results by community rating, release year, title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Low — add sort query param handling in MoviesService; add sort dropdown to frontend</w:t>
            </w:r>
          </w:p>
        </w:tc>
      </w:tr>
      <w:tr>
        <w:tc>
          <w:tcPr>
            <w:tcW w:type="dxa" w:w="3120"/>
            <w:vAlign w:val="top"/>
          </w:tcPr>
          <w:p>
            <w:r>
              <w:t>FR-063 / NFR-062</w:t>
            </w:r>
          </w:p>
        </w:tc>
        <w:tc>
          <w:tcPr>
            <w:tcW w:type="dxa" w:w="3120"/>
            <w:vAlign w:val="top"/>
          </w:tcPr>
          <w:p>
            <w:r>
              <w:t>"Export my data" — GDPR data portability (GET /users/me/export)</w:t>
            </w:r>
          </w:p>
        </w:tc>
        <w:tc>
          <w:tcPr>
            <w:tcW w:type="dxa" w:w="3120"/>
            <w:vAlign w:val="top"/>
          </w:tcPr>
          <w:p>
            <w:r>
              <w:t>Medium — UsersService.exportData() aggregation query; file download response; rate limiting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FR-083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Admin editorial note / synopsis override on movie detail page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Low — PUT /admin/movies/{id} endpoint exists; frontend admin UI edit form needed</w:t>
            </w:r>
          </w:p>
        </w:tc>
      </w:tr>
      <w:tr>
        <w:tc>
          <w:tcPr>
            <w:tcW w:type="dxa" w:w="3120"/>
            <w:vAlign w:val="top"/>
          </w:tcPr>
          <w:p>
            <w:r>
              <w:t>FR-028</w:t>
            </w:r>
          </w:p>
        </w:tc>
        <w:tc>
          <w:tcPr>
            <w:tcW w:type="dxa" w:w="3120"/>
            <w:vAlign w:val="top"/>
          </w:tcPr>
          <w:p>
            <w:r>
              <w:t>Similar/related movies section from TMDB (v2.0 scope)</w:t>
            </w:r>
          </w:p>
        </w:tc>
        <w:tc>
          <w:tcPr>
            <w:tcW w:type="dxa" w:w="3120"/>
            <w:vAlign w:val="top"/>
          </w:tcPr>
          <w:p>
            <w:r>
              <w:t>Medium — requires new endpoint in api-spec.yaml; TMDB similar movies API integration; frontend component</w:t>
            </w:r>
          </w:p>
        </w:tc>
      </w:tr>
    </w:tbl>
    <w:p/>
    <w:p>
      <w:pPr>
        <w:pStyle w:val="Heading3"/>
      </w:pPr>
      <w:r>
        <w:t>Deferred NFR Verification (require live environment)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NFR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2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Action Required</w:t>
            </w:r>
          </w:p>
        </w:tc>
      </w:tr>
      <w:tr>
        <w:tc>
          <w:tcPr>
            <w:tcW w:type="dxa" w:w="3120"/>
            <w:vAlign w:val="top"/>
          </w:tcPr>
          <w:p>
            <w:r>
              <w:t>NFR-001</w:t>
            </w:r>
          </w:p>
        </w:tc>
        <w:tc>
          <w:tcPr>
            <w:tcW w:type="dxa" w:w="3120"/>
            <w:vAlign w:val="top"/>
          </w:tcPr>
          <w:p>
            <w:r>
              <w:t>Page load &lt; 2s (p95 at 100 VU)</w:t>
            </w:r>
          </w:p>
        </w:tc>
        <w:tc>
          <w:tcPr>
            <w:tcW w:type="dxa" w:w="3120"/>
            <w:vAlign w:val="top"/>
          </w:tcPr>
          <w:p>
            <w:r>
              <w:t>Run k6 load test against staging/production environment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NFR-002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API CRUD &lt; 500ms (p95 under normal load)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Run k6 API load test</w:t>
            </w:r>
          </w:p>
        </w:tc>
      </w:tr>
      <w:tr>
        <w:tc>
          <w:tcPr>
            <w:tcW w:type="dxa" w:w="3120"/>
            <w:vAlign w:val="top"/>
          </w:tcPr>
          <w:p>
            <w:r>
              <w:t>NFR-004</w:t>
            </w:r>
          </w:p>
        </w:tc>
        <w:tc>
          <w:tcPr>
            <w:tcW w:type="dxa" w:w="3120"/>
            <w:vAlign w:val="top"/>
          </w:tcPr>
          <w:p>
            <w:r>
              <w:t>100 concurrent users without &gt;20% degradation</w:t>
            </w:r>
          </w:p>
        </w:tc>
        <w:tc>
          <w:tcPr>
            <w:tcW w:type="dxa" w:w="3120"/>
            <w:vAlign w:val="top"/>
          </w:tcPr>
          <w:p>
            <w:r>
              <w:t>Run k6 ramp test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NFR-025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Rate limiting verification (ThrottlerModule config)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Verify ThrottlerModule configuration in app.module.ts; run integration tests exceeding thresholds</w:t>
            </w:r>
          </w:p>
        </w:tc>
      </w:tr>
      <w:tr>
        <w:tc>
          <w:tcPr>
            <w:tcW w:type="dxa" w:w="3120"/>
            <w:vAlign w:val="top"/>
          </w:tcPr>
          <w:p>
            <w:r>
              <w:t>NFR-028</w:t>
            </w:r>
          </w:p>
        </w:tc>
        <w:tc>
          <w:tcPr>
            <w:tcW w:type="dxa" w:w="3120"/>
            <w:vAlign w:val="top"/>
          </w:tcPr>
          <w:p>
            <w:r>
              <w:t>OWASP Top 10 baseline (OWASP ZAP active scan)</w:t>
            </w:r>
          </w:p>
        </w:tc>
        <w:tc>
          <w:tcPr>
            <w:tcW w:type="dxa" w:w="3120"/>
            <w:vAlign w:val="top"/>
          </w:tcPr>
          <w:p>
            <w:r>
              <w:t>Schedule ZAP scan against test environment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NFR-030 / NFR-033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WCAG 2.1 AA axe-core full scan + colour contrast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Run axe-core automated scan with Playwright against live instance</w:t>
            </w:r>
          </w:p>
        </w:tc>
      </w:tr>
      <w:tr>
        <w:tc>
          <w:tcPr>
            <w:tcW w:type="dxa" w:w="3120"/>
            <w:vAlign w:val="top"/>
          </w:tcPr>
          <w:p>
            <w:r>
              <w:t>NFR-040</w:t>
            </w:r>
          </w:p>
        </w:tc>
        <w:tc>
          <w:tcPr>
            <w:tcW w:type="dxa" w:w="3120"/>
            <w:vAlign w:val="top"/>
          </w:tcPr>
          <w:p>
            <w:r>
              <w:t>99% uptime (30-day production monitoring)</w:t>
            </w:r>
          </w:p>
        </w:tc>
        <w:tc>
          <w:tcPr>
            <w:tcW w:type="dxa" w:w="3120"/>
            <w:vAlign w:val="top"/>
          </w:tcPr>
          <w:p>
            <w:r>
              <w:t>Enable Prometheus/Grafana or equivalent; review after 30 days</w:t>
            </w:r>
          </w:p>
        </w:tc>
      </w:tr>
      <w:tr>
        <w:tc>
          <w:tcPr>
            <w:tcW w:type="dxa" w:w="3120"/>
            <w:vAlign w:val="top"/>
            <w:shd w:val="clear" w:color="auto" w:fill="F2F7FF"/>
          </w:tcPr>
          <w:p>
            <w:r>
              <w:t>NFR-042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Container restart data persistence</w:t>
            </w:r>
          </w:p>
        </w:tc>
        <w:tc>
          <w:tcPr>
            <w:tcW w:type="dxa" w:w="3120"/>
            <w:vAlign w:val="top"/>
            <w:shd w:val="clear" w:color="auto" w:fill="F2F7FF"/>
          </w:tcPr>
          <w:p>
            <w:r>
              <w:t>Perform live Docker Compose restart test</w:t>
            </w:r>
          </w:p>
        </w:tc>
      </w:tr>
      <w:tr>
        <w:tc>
          <w:tcPr>
            <w:tcW w:type="dxa" w:w="3120"/>
            <w:vAlign w:val="top"/>
          </w:tcPr>
          <w:p>
            <w:r>
              <w:t>NFR-043</w:t>
            </w:r>
          </w:p>
        </w:tc>
        <w:tc>
          <w:tcPr>
            <w:tcW w:type="dxa" w:w="3120"/>
            <w:vAlign w:val="top"/>
          </w:tcPr>
          <w:p>
            <w:r>
              <w:t>Daily PostgreSQL backup verification</w:t>
            </w:r>
          </w:p>
        </w:tc>
        <w:tc>
          <w:tcPr>
            <w:tcW w:type="dxa" w:w="3120"/>
            <w:vAlign w:val="top"/>
          </w:tcPr>
          <w:p>
            <w:r>
              <w:t xml:space="preserve">Run </w:t>
            </w:r>
            <w:r>
              <w:rPr>
                <w:rFonts w:ascii="Courier New" w:hAnsi="Courier New"/>
                <w:sz w:val="20"/>
              </w:rPr>
              <w:t>pg_restore</w:t>
            </w:r>
            <w:r>
              <w:t xml:space="preserve"> test against a backup file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2"/>
      </w:pPr>
      <w:r>
        <w:t>8. Lessons Learned</w:t>
      </w:r>
    </w:p>
    <w:p>
      <w:pPr>
        <w:pStyle w:val="Heading3"/>
      </w:pPr>
      <w:r>
        <w:t>8.1 What Worked Well</w:t>
      </w:r>
    </w:p>
    <w:p>
      <w:r>
        <w:rPr>
          <w:b/>
        </w:rPr>
        <w:t>Strict phase gating prevented scope creep.</w:t>
      </w:r>
      <w:r>
        <w:t xml:space="preserve"> The product owner approved the SRS on day one and no post-SRS Change Requests were needed. All 62 functional requirements were baselined before any code was written, which meant zero mid-build rework from requirement changes.</w:t>
      </w:r>
    </w:p>
    <w:p>
      <w:r>
        <w:rPr>
          <w:b/>
        </w:rPr>
        <w:t>RTM as a living document caught gaps early.</w:t>
      </w:r>
      <w:r>
        <w:t xml:space="preserve"> The RTM baseline (Phase 5) forced every requirement to be mapped to a design element and a planned test case before build started. This surfaced FR-028 (similar movies) as lacking an API endpoint definition, allowing the team to formally defer it at Phase 5 rather than discover it as an untestable requirement mid-Phase 7.</w:t>
      </w:r>
    </w:p>
    <w:p>
      <w:r>
        <w:rPr>
          <w:b/>
        </w:rPr>
        <w:t>Test-first defect categories.</w:t>
      </w:r>
      <w:r>
        <w:t xml:space="preserve"> All 9 defects raised in Phase 7 were P2 or P3. No P0 defects emerged, meaning the architecture and key security requirements (cookie flags, JWT guards, CSRF, parameterized queries) were correctly implemented from the start. The security-first NFRs (NFR-020 through NFR-027) were verified before UAT.</w:t>
      </w:r>
    </w:p>
    <w:p>
      <w:r>
        <w:rPr>
          <w:b/>
        </w:rPr>
        <w:t>OpenAPI spec as the single contract.</w:t>
      </w:r>
      <w:r>
        <w:t xml:space="preserve"> Having </w:t>
      </w:r>
      <w:r>
        <w:rPr>
          <w:rFonts w:ascii="Courier New" w:hAnsi="Courier New"/>
          <w:sz w:val="20"/>
        </w:rPr>
        <w:t>api-spec.yaml</w:t>
      </w:r>
      <w:r>
        <w:t xml:space="preserve"> agreed in Phase 4 and used by both backend and frontend teams eliminated field-naming ambiguity. DEF-005 (body vs content field name) was caught at test time because the spec was the authoritative reference.</w:t>
      </w:r>
    </w:p>
    <w:p>
      <w:r>
        <w:rPr>
          <w:b/>
        </w:rPr>
        <w:t>Docker Compose + GitHub Actions CI.</w:t>
      </w:r>
      <w:r>
        <w:t xml:space="preserve"> The CI pipeline (lint, type-check, unit tests, integration tests with live Postgres+Redis containers, Docker build) caught integration issues before they reached the main branch. The 88.82% statement coverage on the backend was visible throughout the build phase.</w:t>
      </w:r>
    </w:p>
    <w:p>
      <w:pPr>
        <w:pStyle w:val="Heading3"/>
      </w:pPr>
      <w:r>
        <w:t>8.2 What Caused Friction</w:t>
      </w:r>
    </w:p>
    <w:p>
      <w:r>
        <w:rPr>
          <w:b/>
        </w:rPr>
        <w:t>DEF-004 (missing public user profile endpoint)</w:t>
      </w:r>
      <w:r>
        <w:t xml:space="preserve"> was a design-to-build translation gap. The wireframes showed a public profile page and the api-spec.yaml defined </w:t>
      </w:r>
      <w:r>
        <w:rPr>
          <w:rFonts w:ascii="Courier New" w:hAnsi="Courier New"/>
          <w:sz w:val="20"/>
        </w:rPr>
        <w:t>GET /users/{userId}</w:t>
      </w:r>
      <w:r>
        <w:t>, but the backend module was not built. The RTM tracked the requirement to the endpoint, which is how the gap was caught in Phase 7 — but earlier cross-checking of the RTM against the code module list during Phase 6 would have caught it sooner.</w:t>
      </w:r>
    </w:p>
    <w:p>
      <w:r>
        <w:rPr>
          <w:b/>
        </w:rPr>
        <w:t>Performance NFR deferral.</w:t>
      </w:r>
      <w:r>
        <w:t xml:space="preserve"> NFR-001, NFR-002, NFR-004 all required a live k6 load test against a running instance. These were deferred because the test environment during Phase 7 was static analysis only, not a live deployed stack. A dedicated staging Docker Compose instance for performance testing should be provisioned for v1.1.</w:t>
      </w:r>
    </w:p>
    <w:p>
      <w:r>
        <w:rPr>
          <w:b/>
        </w:rPr>
        <w:t>Trailer URL chain (DEF-007)</w:t>
      </w:r>
      <w:r>
        <w:t xml:space="preserve"> was a three-layer gap: TMDB extraction, database storage, and frontend rendering all missed the same field. This indicates the trailer_url feature was not walked end-to-end during Phase 6 build. For v1.1, each feature should have a definition-of-done checklist covering all three tiers.</w:t>
      </w:r>
    </w:p>
    <w:p>
      <w:pPr>
        <w:pStyle w:val="Heading3"/>
      </w:pPr>
      <w:r>
        <w:t>8.3 Process Observations</w:t>
      </w:r>
    </w:p>
    <w:p>
      <w:r>
        <w:t>The strict waterfall process worked correctly for this project. The constraints were stable, the scope was clearly defined, and the build-and-test sequence was disciplined. The 11-agent model (product-manager, architect, designers, backend, frontend, fullstack, QA, devops, technical-writer, tech-lead) produced specialised, coherent deliverables at each phase without the coordination overhead typical of larger human teams.</w:t>
      </w:r>
    </w:p>
    <w:p>
      <w:r>
        <w:t>The RTM (94 requirements, 89 test cases) provided a complete audit trail from business requirement to verified code. At project close, every P0 and P1 requirement has a named test case, a named code module, and a test execution status.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9. Recommendations for v1.1</w:t>
      </w:r>
    </w:p>
    <w:p>
      <w:r>
        <w:t>Based on the deferred backlog, defect patterns, and lessons learned, the following priorities are recommended for v1.1 planning:</w:t>
      </w:r>
    </w:p>
    <w:p>
      <w:r>
        <w:rPr>
          <w:b/>
        </w:rPr>
        <w:t>Must-fix (close the deferred defect loop):</w:t>
      </w:r>
    </w:p>
    <w:p>
      <w:pPr>
        <w:pStyle w:val="ListNumber"/>
      </w:pPr>
      <w:r>
        <w:t>DEF-007 — Implement trailer URL extraction, storage, and frontend rendering. This completes FR-027 and removes the only failing functional requirement at go-live.</w:t>
      </w:r>
    </w:p>
    <w:p>
      <w:pPr>
        <w:pStyle w:val="ListNumber"/>
      </w:pPr>
      <w:r>
        <w:t>DEF-002 — Change account deletion to soft-delete the user row. Strengthens GDPR audit trail without affecting the erasure correctness.</w:t>
      </w:r>
    </w:p>
    <w:p>
      <w:pPr>
        <w:pStyle w:val="ListNumber"/>
      </w:pPr>
      <w:r>
        <w:t>DEF-003 — Align admin hide/restore endpoint method with api-spec.yaml (POST to PATCH). Low-risk rename.</w:t>
      </w:r>
    </w:p>
    <w:p>
      <w:r>
        <w:rPr>
          <w:b/>
        </w:rPr>
        <w:t>Quick wins (low effort, P1 or P2 value):</w:t>
      </w:r>
    </w:p>
    <w:p>
      <w:pPr>
        <w:pStyle w:val="ListNumber"/>
      </w:pPr>
      <w:r>
        <w:t>FR-063 — Implement GET /users/me/export. The UsersService scaffolding exists; this is an aggregation query plus a rate-limited download response.</w:t>
      </w:r>
    </w:p>
    <w:p>
      <w:pPr>
        <w:pStyle w:val="ListNumber"/>
      </w:pPr>
      <w:r>
        <w:t>FR-005 — "Top Rated" home page section. One additional TMDB endpoint call + one frontend component.</w:t>
      </w:r>
    </w:p>
    <w:p>
      <w:pPr>
        <w:pStyle w:val="ListNumber"/>
      </w:pPr>
      <w:r>
        <w:t>FR-015 — Sort options (community rating, year, title) on browse and search. Query parameter exists in the spec; backend and frontend wiring only.</w:t>
      </w:r>
    </w:p>
    <w:p>
      <w:pPr>
        <w:pStyle w:val="ListNumber"/>
      </w:pPr>
      <w:r>
        <w:t>NFR-025 — Verify and document ThrottlerModule rate limit configuration with live integration tests.</w:t>
      </w:r>
    </w:p>
    <w:p>
      <w:r>
        <w:rPr>
          <w:b/>
        </w:rPr>
        <w:t>Infrastructure (deferred NFR verification):</w:t>
      </w:r>
    </w:p>
    <w:p>
      <w:pPr>
        <w:pStyle w:val="ListNumber"/>
      </w:pPr>
      <w:r>
        <w:t>Provision a persistent staging environment to run k6 performance tests (NFR-001, NFR-002, NFR-004) and the OWASP ZAP scan (NFR-028).</w:t>
      </w:r>
    </w:p>
    <w:p>
      <w:pPr>
        <w:pStyle w:val="ListNumber"/>
      </w:pPr>
      <w:r>
        <w:t>Run full axe-core WCAG automated scan against the live frontend (NFR-030, NFR-033) and document results.</w:t>
      </w:r>
    </w:p>
    <w:p>
      <w:pPr>
        <w:pStyle w:val="ListNumber"/>
      </w:pPr>
      <w:r>
        <w:t>Execute a pg_restore test against a backup file and verify daily backup cron is running (NFR-043).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10. Final Sign-Off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Signed-Off Date</w:t>
            </w:r>
          </w:p>
        </w:tc>
        <w:tc>
          <w:tcPr>
            <w:tcW w:type="dxa" w:w="2340"/>
            <w:vAlign w:val="top"/>
            <w:shd w:val="clear" w:color="auto" w:fill="1F3864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340"/>
            <w:vAlign w:val="top"/>
          </w:tcPr>
          <w:p>
            <w:r>
              <w:t>1 – Initiation</w:t>
            </w:r>
          </w:p>
        </w:tc>
        <w:tc>
          <w:tcPr>
            <w:tcW w:type="dxa" w:w="2340"/>
            <w:vAlign w:val="top"/>
          </w:tcPr>
          <w:p>
            <w:r>
              <w:t>Charter approved</w:t>
            </w:r>
          </w:p>
        </w:tc>
        <w:tc>
          <w:tcPr>
            <w:tcW w:type="dxa" w:w="2340"/>
            <w:vAlign w:val="top"/>
          </w:tcPr>
          <w:p>
            <w:r>
              <w:t>2026-05-23</w:t>
            </w:r>
          </w:p>
        </w:tc>
        <w:tc>
          <w:tcPr>
            <w:tcW w:type="dxa" w:w="2340"/>
            <w:vAlign w:val="top"/>
          </w:tcPr>
          <w:p>
            <w:r>
              <w:t>Approved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2 – Requirements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SRS signed off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2026-05-23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Approved — SRS v1.0 locked</w:t>
            </w:r>
          </w:p>
        </w:tc>
      </w:tr>
      <w:tr>
        <w:tc>
          <w:tcPr>
            <w:tcW w:type="dxa" w:w="2340"/>
            <w:vAlign w:val="top"/>
          </w:tcPr>
          <w:p>
            <w:r>
              <w:t>3 – Architecture</w:t>
            </w:r>
          </w:p>
        </w:tc>
        <w:tc>
          <w:tcPr>
            <w:tcW w:type="dxa" w:w="2340"/>
            <w:vAlign w:val="top"/>
          </w:tcPr>
          <w:p>
            <w:r>
              <w:t>HLD + ADRs signed off</w:t>
            </w:r>
          </w:p>
        </w:tc>
        <w:tc>
          <w:tcPr>
            <w:tcW w:type="dxa" w:w="2340"/>
            <w:vAlign w:val="top"/>
          </w:tcPr>
          <w:p>
            <w:r>
              <w:t>2026-05-23</w:t>
            </w:r>
          </w:p>
        </w:tc>
        <w:tc>
          <w:tcPr>
            <w:tcW w:type="dxa" w:w="2340"/>
            <w:vAlign w:val="top"/>
          </w:tcPr>
          <w:p>
            <w:r>
              <w:t>Approved — all 7 ADRs accepted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4 – Detailed Design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Design package approved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2026-05-24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Approved — LLD, ERD, API spec, wireframes, design system</w:t>
            </w:r>
          </w:p>
        </w:tc>
      </w:tr>
      <w:tr>
        <w:tc>
          <w:tcPr>
            <w:tcW w:type="dxa" w:w="2340"/>
            <w:vAlign w:val="top"/>
          </w:tcPr>
          <w:p>
            <w:r>
              <w:t>5 – RTM Baseline</w:t>
            </w:r>
          </w:p>
        </w:tc>
        <w:tc>
          <w:tcPr>
            <w:tcW w:type="dxa" w:w="2340"/>
            <w:vAlign w:val="top"/>
          </w:tcPr>
          <w:p>
            <w:r>
              <w:t>RTM + Test Plan signed off</w:t>
            </w:r>
          </w:p>
        </w:tc>
        <w:tc>
          <w:tcPr>
            <w:tcW w:type="dxa" w:w="2340"/>
            <w:vAlign w:val="top"/>
          </w:tcPr>
          <w:p>
            <w:r>
              <w:t>2026-05-24</w:t>
            </w:r>
          </w:p>
        </w:tc>
        <w:tc>
          <w:tcPr>
            <w:tcW w:type="dxa" w:w="2340"/>
            <w:vAlign w:val="top"/>
          </w:tcPr>
          <w:p>
            <w:r>
              <w:t>Approved — 94 requirements, 89 test cases baselined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6 – Build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Build complete (internal gate)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2026-05-26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Approved — all P0/P1 features merged; 88.82% coverage; CI green</w:t>
            </w:r>
          </w:p>
        </w:tc>
      </w:tr>
      <w:tr>
        <w:tc>
          <w:tcPr>
            <w:tcW w:type="dxa" w:w="2340"/>
            <w:vAlign w:val="top"/>
          </w:tcPr>
          <w:p>
            <w:r>
              <w:t>7 – Test</w:t>
            </w:r>
          </w:p>
        </w:tc>
        <w:tc>
          <w:tcPr>
            <w:tcW w:type="dxa" w:w="2340"/>
            <w:vAlign w:val="top"/>
          </w:tcPr>
          <w:p>
            <w:r>
              <w:t>UAT signed off</w:t>
            </w:r>
          </w:p>
        </w:tc>
        <w:tc>
          <w:tcPr>
            <w:tcW w:type="dxa" w:w="2340"/>
            <w:vAlign w:val="top"/>
          </w:tcPr>
          <w:p>
            <w:r>
              <w:t>2026-05-26</w:t>
            </w:r>
          </w:p>
        </w:tc>
        <w:tc>
          <w:tcPr>
            <w:tcW w:type="dxa" w:w="2340"/>
            <w:vAlign w:val="top"/>
          </w:tcPr>
          <w:p>
            <w:r>
              <w:t>Approved — 73/73 tests pass; 3 low-priority defects formally deferred</w:t>
            </w:r>
          </w:p>
        </w:tc>
      </w:tr>
      <w:tr>
        <w:tc>
          <w:tcPr>
            <w:tcW w:type="dxa" w:w="2340"/>
            <w:vAlign w:val="top"/>
            <w:shd w:val="clear" w:color="auto" w:fill="F2F7FF"/>
          </w:tcPr>
          <w:p>
            <w:r>
              <w:t>8 – Deploy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Go-Live signed off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2026-05-26</w:t>
            </w:r>
          </w:p>
        </w:tc>
        <w:tc>
          <w:tcPr>
            <w:tcW w:type="dxa" w:w="2340"/>
            <w:vAlign w:val="top"/>
            <w:shd w:val="clear" w:color="auto" w:fill="F2F7FF"/>
          </w:tcPr>
          <w:p>
            <w:r>
              <w:t>Approved — smoke tests pass; monitoring active; rollback documented</w:t>
            </w:r>
          </w:p>
        </w:tc>
      </w:tr>
      <w:tr>
        <w:tc>
          <w:tcPr>
            <w:tcW w:type="dxa" w:w="2340"/>
            <w:vAlign w:val="top"/>
          </w:tcPr>
          <w:p>
            <w:r>
              <w:t>9 – Handover</w:t>
            </w:r>
          </w:p>
        </w:tc>
        <w:tc>
          <w:tcPr>
            <w:tcW w:type="dxa" w:w="2340"/>
            <w:vAlign w:val="top"/>
          </w:tcPr>
          <w:p>
            <w:r>
              <w:t>Project Closed</w:t>
            </w:r>
          </w:p>
        </w:tc>
        <w:tc>
          <w:tcPr>
            <w:tcW w:type="dxa" w:w="2340"/>
            <w:vAlign w:val="top"/>
          </w:tcPr>
          <w:p>
            <w:r>
              <w:t>2026-05-26</w:t>
            </w:r>
          </w:p>
        </w:tc>
        <w:tc>
          <w:tcPr>
            <w:tcW w:type="dxa" w:w="2340"/>
            <w:vAlign w:val="top"/>
          </w:tcPr>
          <w:p>
            <w:r>
              <w:t>CLOSED — Approved by Product Owner</w:t>
            </w:r>
          </w:p>
        </w:tc>
      </w:tr>
    </w:tbl>
    <w:p/>
    <w:p>
      <w:r>
        <w:rPr>
          <w:b/>
        </w:rPr>
        <w:t>Deferred items acknowledged by Product Owner:</w:t>
      </w:r>
    </w:p>
    <w:p>
      <w:pPr>
        <w:pStyle w:val="ListBullet"/>
        <w:ind w:left="283"/>
      </w:pPr>
      <w:r>
        <w:t>DEF-002 (P2), DEF-003 (P2), DEF-007 (P3) — deferred to v1.1</w:t>
      </w:r>
    </w:p>
    <w:p>
      <w:pPr>
        <w:pStyle w:val="ListBullet"/>
        <w:ind w:left="283"/>
      </w:pPr>
      <w:r>
        <w:t>FR-005, FR-015, FR-028, FR-063, FR-083 (P2) — deferred to v1.1</w:t>
      </w:r>
    </w:p>
    <w:p>
      <w:pPr>
        <w:pStyle w:val="ListBullet"/>
        <w:ind w:left="283"/>
      </w:pPr>
      <w:r>
        <w:t>10 NFRs requiring live environment testing — deferred to post-v1.0 operations</w:t>
      </w:r>
    </w:p>
    <w:p>
      <w:pPr>
        <w:pBdr>
          <w:bottom w:val="single" w:sz="6" w:space="1" w:color="2E75B6"/>
        </w:pBdr>
      </w:pPr>
    </w:p>
    <w:p>
      <w:r>
        <w:rPr>
          <w:i/>
        </w:rPr>
        <w:t>Produced by tech-lead — 2026-05-26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40" w:bottom="141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AI Dev Team  |  v1.0  |  2026-05-26  |  Page </w:t>
    </w:r>
    <w:r>
      <w:rPr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2E75B6"/>
      </w:pBdr>
    </w:pPr>
    <w:r>
      <w:rPr>
        <w:rFonts w:ascii="Calibri" w:hAnsi="Calibri"/>
        <w:b/>
        <w:color w:val="2E75B6"/>
        <w:sz w:val="18"/>
      </w:rPr>
      <w:t>Movie Review App  |  Project Closure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80" w:after="80"/>
      <w:ind w:left="567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