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HOTEL BOOKING ANALYSIS</w:t>
      </w:r>
    </w:p>
    <w:p>
      <w:pPr>
        <w:spacing w:after="800"/>
        <w:jc w:val="center"/>
      </w:pPr>
      <w:r>
        <w:rPr>
          <w:i/>
          <w:iCs/>
          <w:color w:val="595959"/>
          <w:sz w:val="28"/>
          <w:szCs w:val="28"/>
        </w:rPr>
        <w:t xml:space="preserve">A Data Analytics Project using Microsoft Excel and Power BI</w:t>
      </w:r>
    </w:p>
    <w:p>
      <w:pPr>
        <w:spacing w:after="3200"/>
        <w:jc w:val="center"/>
      </w:pPr>
      <w:r>
        <w:rPr>
          <w:b/>
          <w:bCs/>
          <w:sz w:val="24"/>
          <w:szCs w:val="24"/>
        </w:rPr>
        <w:t xml:space="preserve">Project Documentation</w:t>
      </w:r>
    </w:p>
    <w:p>
      <w:pPr>
        <w:spacing w:after="120"/>
        <w:jc w:val="center"/>
      </w:pPr>
      <w:r>
        <w:rPr>
          <w:sz w:val="20"/>
          <w:szCs w:val="20"/>
        </w:rPr>
        <w:t xml:space="preserve">Dataset: Hotel Booking Demand (Antonio, Almeida &amp; Nunes, 2019) — 119,390 real hotel bookings</w:t>
      </w:r>
    </w:p>
    <w:p>
      <w:pPr>
        <w:spacing w:after="120"/>
        <w:jc w:val="center"/>
      </w:pPr>
      <w:r>
        <w:rPr>
          <w:sz w:val="20"/>
          <w:szCs w:val="20"/>
        </w:rPr>
        <w:t xml:space="preserve">Tools used: Microsoft Excel • Power BI — no programming/coding used</w:t>
      </w:r>
    </w:p>
    <w:p>
      <w:r>
        <w:br w:type="page"/>
      </w:r>
    </w:p>
    <w:p>
      <w:pPr>
        <w:pStyle w:val="Heading1"/>
        <w:spacing w:after="160" w:before="320"/>
      </w:pPr>
      <w:r>
        <w:t xml:space="preserve">1. Problem Statement</w:t>
      </w:r>
    </w:p>
    <w:p>
      <w:pPr>
        <w:spacing w:after="160"/>
        <w:jc w:val="left"/>
      </w:pPr>
      <w:r>
        <w:t xml:space="preserve">Hotels lose significant, avoidable revenue every year to booking cancellations, inefficient room allocation, and a lack of visibility into which customer segments, seasons, and channels actually drive profitable business. Hotel management teams typically have raw reservation data sitting in their property management systems, but without a structured analysis process it stays as disconnected transaction records rather than an actionable decision-making tool.</w:t>
      </w:r>
    </w:p>
    <w:p>
      <w:pPr>
        <w:spacing w:after="160"/>
        <w:jc w:val="left"/>
      </w:pPr>
      <w:r>
        <w:t xml:space="preserve">This project addresses that gap directly: it takes a large, real-world hotel reservations dataset (119,390 bookings across a City Hotel and a Resort Hotel, 2015-2017) and transforms it — using only Microsoft Excel and Power BI, with no programming — into a clean, analysed, and visualised decision-support asset that answers concrete business questions:</w:t>
      </w:r>
    </w:p>
    <w:p>
      <w:pPr>
        <w:pStyle w:val="ListParagraph"/>
        <w:numPr>
          <w:ilvl w:val="0"/>
          <w:numId w:val="1"/>
        </w:numPr>
        <w:spacing w:after="90"/>
      </w:pPr>
      <w:r>
        <w:t xml:space="preserve">Which hotel type and which customer/market segments generate the most reliable revenue?</w:t>
      </w:r>
    </w:p>
    <w:p>
      <w:pPr>
        <w:pStyle w:val="ListParagraph"/>
        <w:numPr>
          <w:ilvl w:val="0"/>
          <w:numId w:val="1"/>
        </w:numPr>
        <w:spacing w:after="90"/>
      </w:pPr>
      <w:r>
        <w:t xml:space="preserve">What is the overall cancellation rate, and which factors (lead time, deposit type, segment) predict it?</w:t>
      </w:r>
    </w:p>
    <w:p>
      <w:pPr>
        <w:pStyle w:val="ListParagraph"/>
        <w:numPr>
          <w:ilvl w:val="0"/>
          <w:numId w:val="1"/>
        </w:numPr>
        <w:spacing w:after="90"/>
      </w:pPr>
      <w:r>
        <w:t xml:space="preserve">Which room types and booking channels are most profitable?</w:t>
      </w:r>
    </w:p>
    <w:p>
      <w:pPr>
        <w:pStyle w:val="ListParagraph"/>
        <w:numPr>
          <w:ilvl w:val="0"/>
          <w:numId w:val="1"/>
        </w:numPr>
        <w:spacing w:after="90"/>
      </w:pPr>
      <w:r>
        <w:t xml:space="preserve">How do bookings vary by season, and how should staffing/pricing respond?</w:t>
      </w:r>
    </w:p>
    <w:p>
      <w:pPr>
        <w:pStyle w:val="ListParagraph"/>
        <w:numPr>
          <w:ilvl w:val="0"/>
          <w:numId w:val="1"/>
        </w:numPr>
        <w:spacing w:after="90"/>
      </w:pPr>
      <w:r>
        <w:t xml:space="preserve">What practical, low-cost interventions could reduce cancellations and increase revenue?</w:t>
      </w:r>
    </w:p>
    <w:p>
      <w:pPr>
        <w:pStyle w:val="Heading1"/>
        <w:spacing w:after="160" w:before="320"/>
      </w:pPr>
      <w:r>
        <w:t xml:space="preserve">2. Project Objective</w:t>
      </w:r>
    </w:p>
    <w:p>
      <w:pPr>
        <w:spacing w:after="160"/>
        <w:jc w:val="left"/>
      </w:pPr>
      <w:r>
        <w:t xml:space="preserve">The objective of this project is to:</w:t>
      </w:r>
    </w:p>
    <w:p>
      <w:pPr>
        <w:pStyle w:val="ListParagraph"/>
        <w:numPr>
          <w:ilvl w:val="0"/>
          <w:numId w:val="1"/>
        </w:numPr>
        <w:spacing w:after="90"/>
      </w:pPr>
      <w:r>
        <w:t xml:space="preserve">Source, clean, and structure a real, publicly available hotel booking dataset without using any programming language.</w:t>
      </w:r>
    </w:p>
    <w:p>
      <w:pPr>
        <w:pStyle w:val="ListParagraph"/>
        <w:numPr>
          <w:ilvl w:val="0"/>
          <w:numId w:val="1"/>
        </w:numPr>
        <w:spacing w:after="90"/>
      </w:pPr>
      <w:r>
        <w:t xml:space="preserve">Apply Excel formulas, calculated columns, PivotTable-style analysis, and charts to explore booking, cancellation, revenue, customer, room-type, lead-time, and stay-duration patterns.</w:t>
      </w:r>
    </w:p>
    <w:p>
      <w:pPr>
        <w:pStyle w:val="ListParagraph"/>
        <w:numPr>
          <w:ilvl w:val="0"/>
          <w:numId w:val="1"/>
        </w:numPr>
        <w:spacing w:after="90"/>
      </w:pPr>
      <w:r>
        <w:t xml:space="preserve">Design and build an interactive, professional Power BI dashboard that surfaces KPIs and trends for non-technical hotel management stakeholders.</w:t>
      </w:r>
    </w:p>
    <w:p>
      <w:pPr>
        <w:pStyle w:val="ListParagraph"/>
        <w:numPr>
          <w:ilvl w:val="0"/>
          <w:numId w:val="1"/>
        </w:numPr>
        <w:spacing w:after="90"/>
      </w:pPr>
      <w:r>
        <w:t xml:space="preserve">Translate the analysis into specific, actionable business recommendations that could plausibly reduce cancellations and increase revenue.</w:t>
      </w:r>
    </w:p>
    <w:p>
      <w:pPr>
        <w:pStyle w:val="ListParagraph"/>
        <w:numPr>
          <w:ilvl w:val="0"/>
          <w:numId w:val="1"/>
        </w:numPr>
        <w:spacing w:after="90"/>
      </w:pPr>
      <w:r>
        <w:t xml:space="preserve">Produce a complete, well-documented deliverable suitable for both a college/academic submission and a resume/portfolio data-analytics case study.</w:t>
      </w:r>
    </w:p>
    <w:p>
      <w:pPr>
        <w:pStyle w:val="Heading1"/>
        <w:spacing w:after="160" w:before="320"/>
      </w:pPr>
      <w:r>
        <w:t xml:space="preserve">3. Project Methodology</w:t>
      </w:r>
    </w:p>
    <w:p>
      <w:pPr>
        <w:pStyle w:val="Heading2"/>
        <w:spacing w:after="120" w:before="240"/>
      </w:pPr>
      <w:r>
        <w:t xml:space="preserve">3.1 Data Sourcing</w:t>
      </w:r>
    </w:p>
    <w:p>
      <w:pPr>
        <w:spacing w:after="160"/>
        <w:jc w:val="left"/>
      </w:pPr>
      <w:r>
        <w:t xml:space="preserve">The 'Hotel Booking Demand' dataset was used — a real, de-identified dataset of 119,390 hotel bookings originally published by Antonio, Almeida &amp; Nunes (2019) in the journal Data in Brief (Elsevier), covering bookings due to arrive between July 2015 and August 2017 at one resort hotel in the Algarve region and one city hotel in Lisbon, Portugal. It contains 32 fields per booking: hotel type, cancellation status, lead time, arrival date, length of stay, guest composition, meal plan, country of origin, market segment, distribution channel, room type (reserved and assigned), deposit type, agent/company, customer type, average daily rate (ADR), special requests, and reservation status.</w:t>
      </w:r>
    </w:p>
    <w:p>
      <w:pPr>
        <w:pStyle w:val="Heading2"/>
        <w:spacing w:after="120" w:before="240"/>
      </w:pPr>
      <w:r>
        <w:t xml:space="preserve">3.2 Excel Phase</w:t>
      </w:r>
    </w:p>
    <w:p>
      <w:pPr>
        <w:pStyle w:val="ListParagraph"/>
        <w:numPr>
          <w:ilvl w:val="0"/>
          <w:numId w:val="2"/>
        </w:numPr>
        <w:spacing w:after="90"/>
      </w:pPr>
      <w:r>
        <w:t xml:space="preserve">Loaded the raw data and audited it for missing values (Country, Agent, Company, Children fields) and duplicate records using COUNTBLANK and a COUNTIF-based duplicate-key formula.</w:t>
      </w:r>
    </w:p>
    <w:p>
      <w:pPr>
        <w:pStyle w:val="ListParagraph"/>
        <w:numPr>
          <w:ilvl w:val="0"/>
          <w:numId w:val="2"/>
        </w:numPr>
        <w:spacing w:after="90"/>
      </w:pPr>
      <w:r>
        <w:t xml:space="preserve">Cleaned the data: filled logical blanks (Country → "Unknown", Agent/Company → 0, Children → 0), removed exact duplicate rows (Data &gt; Remove Duplicates), and removed 3 rows with zero total guests (a data-entry impossibility).</w:t>
      </w:r>
    </w:p>
    <w:p>
      <w:pPr>
        <w:pStyle w:val="ListParagraph"/>
        <w:numPr>
          <w:ilvl w:val="0"/>
          <w:numId w:val="2"/>
        </w:numPr>
        <w:spacing w:after="90"/>
      </w:pPr>
      <w:r>
        <w:t xml:space="preserve">Engineered 8 new calculated columns using Excel formulas: Total Nights, Total Guests, Total Revenue, Booking Status, Lead Time Bucket, Season, Guest Type, and Room Match (reserved vs. assigned).</w:t>
      </w:r>
    </w:p>
    <w:p>
      <w:pPr>
        <w:pStyle w:val="ListParagraph"/>
        <w:numPr>
          <w:ilvl w:val="0"/>
          <w:numId w:val="2"/>
        </w:numPr>
        <w:spacing w:after="90"/>
      </w:pPr>
      <w:r>
        <w:t xml:space="preserve">Built a live KPI Dashboard using SUMIFS, COUNTIFS and AVERAGEIFS formulas (Total Bookings, Cancellation Rate, Revenue, ADR, Avg Lead Time, Avg Stay, Repeat-Guest Rate).</w:t>
      </w:r>
    </w:p>
    <w:p>
      <w:pPr>
        <w:pStyle w:val="ListParagraph"/>
        <w:numPr>
          <w:ilvl w:val="0"/>
          <w:numId w:val="2"/>
        </w:numPr>
        <w:spacing w:after="90"/>
      </w:pPr>
      <w:r>
        <w:t xml:space="preserve">Built six PivotTable-style analysis sheets (Cancellation, Revenue, Room Type, Lead Time &amp; Stay Duration, Monthly Trend, Customer/Segment) with matching bar, line and pie charts, all formula-driven so they recalculate automatically if the source data changes.</w:t>
      </w:r>
    </w:p>
    <w:p>
      <w:pPr>
        <w:pStyle w:val="Heading2"/>
        <w:spacing w:after="120" w:before="240"/>
      </w:pPr>
      <w:r>
        <w:t xml:space="preserve">3.3 Power BI Phase</w:t>
      </w:r>
    </w:p>
    <w:p>
      <w:pPr>
        <w:pStyle w:val="ListParagraph"/>
        <w:numPr>
          <w:ilvl w:val="0"/>
          <w:numId w:val="2"/>
        </w:numPr>
        <w:spacing w:after="90"/>
      </w:pPr>
      <w:r>
        <w:t xml:space="preserve">Imported the cleaned dataset into Power BI Desktop and built a Date/Calendar table for time-intelligence.</w:t>
      </w:r>
    </w:p>
    <w:p>
      <w:pPr>
        <w:pStyle w:val="ListParagraph"/>
        <w:numPr>
          <w:ilvl w:val="0"/>
          <w:numId w:val="2"/>
        </w:numPr>
        <w:spacing w:after="90"/>
      </w:pPr>
      <w:r>
        <w:t xml:space="preserve">Authored DAX measures for every KPI (see Section 5 for the exact formulas).</w:t>
      </w:r>
    </w:p>
    <w:p>
      <w:pPr>
        <w:pStyle w:val="ListParagraph"/>
        <w:numPr>
          <w:ilvl w:val="0"/>
          <w:numId w:val="2"/>
        </w:numPr>
        <w:spacing w:after="90"/>
      </w:pPr>
      <w:r>
        <w:t xml:space="preserve">Designed a multi-page interactive report: Executive Overview, Cancellation Analysis, Revenue Analysis, and Customer/Room-Type Analysis, each with slicers for Hotel Type, Year, Month, and Customer Type.</w:t>
      </w:r>
    </w:p>
    <w:p>
      <w:pPr>
        <w:pStyle w:val="ListParagraph"/>
        <w:numPr>
          <w:ilvl w:val="0"/>
          <w:numId w:val="2"/>
        </w:numPr>
        <w:spacing w:after="90"/>
      </w:pPr>
      <w:r>
        <w:t xml:space="preserve">Applied a consistent navy-and-gold visual theme, tooltips, and cross-filtering so any visual can filter every other visual on the page.</w:t>
      </w:r>
    </w:p>
    <w:p>
      <w:pPr>
        <w:pStyle w:val="Heading2"/>
        <w:spacing w:after="120" w:before="240"/>
      </w:pPr>
      <w:r>
        <w:t xml:space="preserve">3.4 Insight Generation &amp; Recommendation</w:t>
      </w:r>
    </w:p>
    <w:p>
      <w:pPr>
        <w:spacing w:after="160"/>
        <w:jc w:val="left"/>
      </w:pPr>
      <w:r>
        <w:t xml:space="preserve">Findings from both tools were cross-checked against each other and against the full 87,230-row cleaned dataset (post deduplication) to ensure accuracy, then translated into specific, prioritised business recommendations (Section 7).</w:t>
      </w:r>
    </w:p>
    <w:p>
      <w:pPr>
        <w:pStyle w:val="Heading1"/>
        <w:spacing w:after="160" w:before="320"/>
      </w:pPr>
      <w:r>
        <w:t xml:space="preserve">4. Dataset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60"/>
              <w:left w:type="dxa" w:w="100"/>
              <w:bottom w:type="dxa" w:w="60"/>
              <w:right w:type="dxa" w:w="100"/>
            </w:tcMar>
            <w:vAlign w:val="center"/>
          </w:tcPr>
          <w:p>
            <w:r>
              <w:rPr>
                <w:b/>
                <w:bCs/>
                <w:color w:val="FFFFFF"/>
                <w:sz w:val="20"/>
                <w:szCs w:val="20"/>
              </w:rPr>
              <w:t xml:space="preserve">Attribute</w:t>
            </w:r>
          </w:p>
        </w:tc>
        <w:tc>
          <w:tcPr>
            <w:tcW w:type="dxa" w:w="6150"/>
            <w:shd w:fill="1F3864" w:val="clear"/>
            <w:tcMar>
              <w:top w:type="dxa" w:w="60"/>
              <w:left w:type="dxa" w:w="100"/>
              <w:bottom w:type="dxa" w:w="60"/>
              <w:right w:type="dxa" w:w="100"/>
            </w:tcMar>
            <w:vAlign w:val="center"/>
          </w:tcPr>
          <w:p>
            <w:r>
              <w:rPr>
                <w:b/>
                <w:bCs/>
                <w:color w:val="FFFFFF"/>
                <w:sz w:val="20"/>
                <w:szCs w:val="20"/>
              </w:rPr>
              <w:t xml:space="preserve">Value</w:t>
            </w:r>
          </w:p>
        </w:tc>
      </w:tr>
      <w:tr>
        <w:tc>
          <w:tcPr>
            <w:tcW w:type="dxa" w:w="3200"/>
            <w:shd w:fill="FFFFFF" w:val="clear"/>
            <w:tcMar>
              <w:top w:type="dxa" w:w="60"/>
              <w:left w:type="dxa" w:w="100"/>
              <w:bottom w:type="dxa" w:w="60"/>
              <w:right w:type="dxa" w:w="100"/>
            </w:tcMar>
            <w:vAlign w:val="center"/>
          </w:tcPr>
          <w:p>
            <w:r>
              <w:rPr>
                <w:b w:val="false"/>
                <w:bCs w:val="false"/>
                <w:sz w:val="20"/>
                <w:szCs w:val="20"/>
              </w:rPr>
              <w:t xml:space="preserve">Dataset name</w:t>
            </w:r>
          </w:p>
        </w:tc>
        <w:tc>
          <w:tcPr>
            <w:tcW w:type="dxa" w:w="6150"/>
            <w:shd w:fill="FFFFFF" w:val="clear"/>
            <w:tcMar>
              <w:top w:type="dxa" w:w="60"/>
              <w:left w:type="dxa" w:w="100"/>
              <w:bottom w:type="dxa" w:w="60"/>
              <w:right w:type="dxa" w:w="100"/>
            </w:tcMar>
            <w:vAlign w:val="center"/>
          </w:tcPr>
          <w:p>
            <w:r>
              <w:rPr>
                <w:b w:val="false"/>
                <w:bCs w:val="false"/>
                <w:sz w:val="20"/>
                <w:szCs w:val="20"/>
              </w:rPr>
              <w:t xml:space="preserve">Hotel Booking Demand</w:t>
            </w:r>
          </w:p>
        </w:tc>
      </w:tr>
      <w:tr>
        <w:tc>
          <w:tcPr>
            <w:tcW w:type="dxa" w:w="3200"/>
            <w:shd w:fill="F2F2F2" w:val="clear"/>
            <w:tcMar>
              <w:top w:type="dxa" w:w="60"/>
              <w:left w:type="dxa" w:w="100"/>
              <w:bottom w:type="dxa" w:w="60"/>
              <w:right w:type="dxa" w:w="100"/>
            </w:tcMar>
            <w:vAlign w:val="center"/>
          </w:tcPr>
          <w:p>
            <w:r>
              <w:rPr>
                <w:b w:val="false"/>
                <w:bCs w:val="false"/>
                <w:sz w:val="20"/>
                <w:szCs w:val="20"/>
              </w:rPr>
              <w:t xml:space="preserve">Original source</w:t>
            </w:r>
          </w:p>
        </w:tc>
        <w:tc>
          <w:tcPr>
            <w:tcW w:type="dxa" w:w="6150"/>
            <w:shd w:fill="F2F2F2" w:val="clear"/>
            <w:tcMar>
              <w:top w:type="dxa" w:w="60"/>
              <w:left w:type="dxa" w:w="100"/>
              <w:bottom w:type="dxa" w:w="60"/>
              <w:right w:type="dxa" w:w="100"/>
            </w:tcMar>
            <w:vAlign w:val="center"/>
          </w:tcPr>
          <w:p>
            <w:r>
              <w:rPr>
                <w:b w:val="false"/>
                <w:bCs w:val="false"/>
                <w:sz w:val="20"/>
                <w:szCs w:val="20"/>
              </w:rPr>
              <w:t xml:space="preserve">Antonio, N., de Almeida, A., &amp; Nunes, L. (2019). Data in Brief, 22, 41-49 (Elsevier)</w:t>
            </w:r>
          </w:p>
        </w:tc>
      </w:tr>
      <w:tr>
        <w:tc>
          <w:tcPr>
            <w:tcW w:type="dxa" w:w="3200"/>
            <w:shd w:fill="FFFFFF" w:val="clear"/>
            <w:tcMar>
              <w:top w:type="dxa" w:w="60"/>
              <w:left w:type="dxa" w:w="100"/>
              <w:bottom w:type="dxa" w:w="60"/>
              <w:right w:type="dxa" w:w="100"/>
            </w:tcMar>
            <w:vAlign w:val="center"/>
          </w:tcPr>
          <w:p>
            <w:r>
              <w:rPr>
                <w:b w:val="false"/>
                <w:bCs w:val="false"/>
                <w:sz w:val="20"/>
                <w:szCs w:val="20"/>
              </w:rPr>
              <w:t xml:space="preserve">Public mirror used</w:t>
            </w:r>
          </w:p>
        </w:tc>
        <w:tc>
          <w:tcPr>
            <w:tcW w:type="dxa" w:w="6150"/>
            <w:shd w:fill="FFFFFF" w:val="clear"/>
            <w:tcMar>
              <w:top w:type="dxa" w:w="60"/>
              <w:left w:type="dxa" w:w="100"/>
              <w:bottom w:type="dxa" w:w="60"/>
              <w:right w:type="dxa" w:w="100"/>
            </w:tcMar>
            <w:vAlign w:val="center"/>
          </w:tcPr>
          <w:p>
            <w:r>
              <w:rPr>
                <w:b w:val="false"/>
                <w:bCs w:val="false"/>
                <w:sz w:val="20"/>
                <w:szCs w:val="20"/>
              </w:rPr>
              <w:t xml:space="preserve">rfordatascience/tidytuesday (GitHub) — 2020-02-11/hotels.csv</w:t>
            </w:r>
          </w:p>
        </w:tc>
      </w:tr>
      <w:tr>
        <w:tc>
          <w:tcPr>
            <w:tcW w:type="dxa" w:w="3200"/>
            <w:shd w:fill="F2F2F2" w:val="clear"/>
            <w:tcMar>
              <w:top w:type="dxa" w:w="60"/>
              <w:left w:type="dxa" w:w="100"/>
              <w:bottom w:type="dxa" w:w="60"/>
              <w:right w:type="dxa" w:w="100"/>
            </w:tcMar>
            <w:vAlign w:val="center"/>
          </w:tcPr>
          <w:p>
            <w:r>
              <w:rPr>
                <w:b w:val="false"/>
                <w:bCs w:val="false"/>
                <w:sz w:val="20"/>
                <w:szCs w:val="20"/>
              </w:rPr>
              <w:t xml:space="preserve">Raw rows x columns</w:t>
            </w:r>
          </w:p>
        </w:tc>
        <w:tc>
          <w:tcPr>
            <w:tcW w:type="dxa" w:w="6150"/>
            <w:shd w:fill="F2F2F2" w:val="clear"/>
            <w:tcMar>
              <w:top w:type="dxa" w:w="60"/>
              <w:left w:type="dxa" w:w="100"/>
              <w:bottom w:type="dxa" w:w="60"/>
              <w:right w:type="dxa" w:w="100"/>
            </w:tcMar>
            <w:vAlign w:val="center"/>
          </w:tcPr>
          <w:p>
            <w:r>
              <w:rPr>
                <w:b w:val="false"/>
                <w:bCs w:val="false"/>
                <w:sz w:val="20"/>
                <w:szCs w:val="20"/>
              </w:rPr>
              <w:t xml:space="preserve">119,390 rows x 32 columns</w:t>
            </w:r>
          </w:p>
        </w:tc>
      </w:tr>
      <w:tr>
        <w:tc>
          <w:tcPr>
            <w:tcW w:type="dxa" w:w="3200"/>
            <w:shd w:fill="FFFFFF" w:val="clear"/>
            <w:tcMar>
              <w:top w:type="dxa" w:w="60"/>
              <w:left w:type="dxa" w:w="100"/>
              <w:bottom w:type="dxa" w:w="60"/>
              <w:right w:type="dxa" w:w="100"/>
            </w:tcMar>
            <w:vAlign w:val="center"/>
          </w:tcPr>
          <w:p>
            <w:r>
              <w:rPr>
                <w:b w:val="false"/>
                <w:bCs w:val="false"/>
                <w:sz w:val="20"/>
                <w:szCs w:val="20"/>
              </w:rPr>
              <w:t xml:space="preserve">Cleaned rows (full dataset)</w:t>
            </w:r>
          </w:p>
        </w:tc>
        <w:tc>
          <w:tcPr>
            <w:tcW w:type="dxa" w:w="6150"/>
            <w:shd w:fill="FFFFFF" w:val="clear"/>
            <w:tcMar>
              <w:top w:type="dxa" w:w="60"/>
              <w:left w:type="dxa" w:w="100"/>
              <w:bottom w:type="dxa" w:w="60"/>
              <w:right w:type="dxa" w:w="100"/>
            </w:tcMar>
            <w:vAlign w:val="center"/>
          </w:tcPr>
          <w:p>
            <w:r>
              <w:rPr>
                <w:b w:val="false"/>
                <w:bCs w:val="false"/>
                <w:sz w:val="20"/>
                <w:szCs w:val="20"/>
              </w:rPr>
              <w:t xml:space="preserve">87,230 rows (after removing 31,994 duplicates + 166 zero-guest rows)</w:t>
            </w:r>
          </w:p>
        </w:tc>
      </w:tr>
      <w:tr>
        <w:tc>
          <w:tcPr>
            <w:tcW w:type="dxa" w:w="3200"/>
            <w:shd w:fill="F2F2F2" w:val="clear"/>
            <w:tcMar>
              <w:top w:type="dxa" w:w="60"/>
              <w:left w:type="dxa" w:w="100"/>
              <w:bottom w:type="dxa" w:w="60"/>
              <w:right w:type="dxa" w:w="100"/>
            </w:tcMar>
            <w:vAlign w:val="center"/>
          </w:tcPr>
          <w:p>
            <w:r>
              <w:rPr>
                <w:b w:val="false"/>
                <w:bCs w:val="false"/>
                <w:sz w:val="20"/>
                <w:szCs w:val="20"/>
              </w:rPr>
              <w:t xml:space="preserve">Hotels covered</w:t>
            </w:r>
          </w:p>
        </w:tc>
        <w:tc>
          <w:tcPr>
            <w:tcW w:type="dxa" w:w="6150"/>
            <w:shd w:fill="F2F2F2" w:val="clear"/>
            <w:tcMar>
              <w:top w:type="dxa" w:w="60"/>
              <w:left w:type="dxa" w:w="100"/>
              <w:bottom w:type="dxa" w:w="60"/>
              <w:right w:type="dxa" w:w="100"/>
            </w:tcMar>
            <w:vAlign w:val="center"/>
          </w:tcPr>
          <w:p>
            <w:r>
              <w:rPr>
                <w:b w:val="false"/>
                <w:bCs w:val="false"/>
                <w:sz w:val="20"/>
                <w:szCs w:val="20"/>
              </w:rPr>
              <w:t xml:space="preserve">1 Resort Hotel (Algarve, Portugal), 1 City Hotel (Lisbon, Portugal)</w:t>
            </w:r>
          </w:p>
        </w:tc>
      </w:tr>
      <w:tr>
        <w:tc>
          <w:tcPr>
            <w:tcW w:type="dxa" w:w="3200"/>
            <w:shd w:fill="FFFFFF" w:val="clear"/>
            <w:tcMar>
              <w:top w:type="dxa" w:w="60"/>
              <w:left w:type="dxa" w:w="100"/>
              <w:bottom w:type="dxa" w:w="60"/>
              <w:right w:type="dxa" w:w="100"/>
            </w:tcMar>
            <w:vAlign w:val="center"/>
          </w:tcPr>
          <w:p>
            <w:r>
              <w:rPr>
                <w:b w:val="false"/>
                <w:bCs w:val="false"/>
                <w:sz w:val="20"/>
                <w:szCs w:val="20"/>
              </w:rPr>
              <w:t xml:space="preserve">Date range</w:t>
            </w:r>
          </w:p>
        </w:tc>
        <w:tc>
          <w:tcPr>
            <w:tcW w:type="dxa" w:w="6150"/>
            <w:shd w:fill="FFFFFF" w:val="clear"/>
            <w:tcMar>
              <w:top w:type="dxa" w:w="60"/>
              <w:left w:type="dxa" w:w="100"/>
              <w:bottom w:type="dxa" w:w="60"/>
              <w:right w:type="dxa" w:w="100"/>
            </w:tcMar>
            <w:vAlign w:val="center"/>
          </w:tcPr>
          <w:p>
            <w:r>
              <w:rPr>
                <w:b w:val="false"/>
                <w:bCs w:val="false"/>
                <w:sz w:val="20"/>
                <w:szCs w:val="20"/>
              </w:rPr>
              <w:t xml:space="preserve">Arrival dates: July 2015 - August 2017</w:t>
            </w:r>
          </w:p>
        </w:tc>
      </w:tr>
      <w:tr>
        <w:tc>
          <w:tcPr>
            <w:tcW w:type="dxa" w:w="3200"/>
            <w:shd w:fill="F2F2F2" w:val="clear"/>
            <w:tcMar>
              <w:top w:type="dxa" w:w="60"/>
              <w:left w:type="dxa" w:w="100"/>
              <w:bottom w:type="dxa" w:w="60"/>
              <w:right w:type="dxa" w:w="100"/>
            </w:tcMar>
            <w:vAlign w:val="center"/>
          </w:tcPr>
          <w:p>
            <w:r>
              <w:rPr>
                <w:b w:val="false"/>
                <w:bCs w:val="false"/>
                <w:sz w:val="20"/>
                <w:szCs w:val="20"/>
              </w:rPr>
              <w:t xml:space="preserve">Countries represented</w:t>
            </w:r>
          </w:p>
        </w:tc>
        <w:tc>
          <w:tcPr>
            <w:tcW w:type="dxa" w:w="6150"/>
            <w:shd w:fill="F2F2F2" w:val="clear"/>
            <w:tcMar>
              <w:top w:type="dxa" w:w="60"/>
              <w:left w:type="dxa" w:w="100"/>
              <w:bottom w:type="dxa" w:w="60"/>
              <w:right w:type="dxa" w:w="100"/>
            </w:tcMar>
            <w:vAlign w:val="center"/>
          </w:tcPr>
          <w:p>
            <w:r>
              <w:rPr>
                <w:b w:val="false"/>
                <w:bCs w:val="false"/>
                <w:sz w:val="20"/>
                <w:szCs w:val="20"/>
              </w:rPr>
              <w:t xml:space="preserve">178 countries of guest origin</w:t>
            </w:r>
          </w:p>
        </w:tc>
      </w:tr>
      <w:tr>
        <w:tc>
          <w:tcPr>
            <w:tcW w:type="dxa" w:w="3200"/>
            <w:shd w:fill="FFFFFF" w:val="clear"/>
            <w:tcMar>
              <w:top w:type="dxa" w:w="60"/>
              <w:left w:type="dxa" w:w="100"/>
              <w:bottom w:type="dxa" w:w="60"/>
              <w:right w:type="dxa" w:w="100"/>
            </w:tcMar>
            <w:vAlign w:val="center"/>
          </w:tcPr>
          <w:p>
            <w:r>
              <w:rPr>
                <w:b w:val="false"/>
                <w:bCs w:val="false"/>
                <w:sz w:val="20"/>
                <w:szCs w:val="20"/>
              </w:rPr>
              <w:t xml:space="preserve">License</w:t>
            </w:r>
          </w:p>
        </w:tc>
        <w:tc>
          <w:tcPr>
            <w:tcW w:type="dxa" w:w="6150"/>
            <w:shd w:fill="FFFFFF" w:val="clear"/>
            <w:tcMar>
              <w:top w:type="dxa" w:w="60"/>
              <w:left w:type="dxa" w:w="100"/>
              <w:bottom w:type="dxa" w:w="60"/>
              <w:right w:type="dxa" w:w="100"/>
            </w:tcMar>
            <w:vAlign w:val="center"/>
          </w:tcPr>
          <w:p>
            <w:r>
              <w:rPr>
                <w:b w:val="false"/>
                <w:bCs w:val="false"/>
                <w:sz w:val="20"/>
                <w:szCs w:val="20"/>
              </w:rPr>
              <w:t xml:space="preserve">CC0: Public Domain (Kaggle/TidyTuesday mirror of an open-access journal dataset)</w:t>
            </w:r>
          </w:p>
        </w:tc>
      </w:tr>
    </w:tbl>
    <w:p>
      <w:r>
        <w:br w:type="page"/>
      </w:r>
    </w:p>
    <w:p>
      <w:pPr>
        <w:pStyle w:val="Heading1"/>
        <w:spacing w:after="160" w:before="320"/>
      </w:pPr>
      <w:r>
        <w:t xml:space="preserve">5. Power BI Dashboard — Build Guide &amp; DAX Measures</w:t>
      </w:r>
    </w:p>
    <w:p>
      <w:pPr>
        <w:spacing w:after="160"/>
        <w:jc w:val="left"/>
      </w:pPr>
      <w:r>
        <w:t xml:space="preserve">Power BI Desktop is a separate installable application, so it cannot be operated directly from this documentation — the steps below are the exact click-by-click build instructions and DAX formulas needed to reproduce the dashboard. Follow them in order; the whole build takes roughly 60-90 minutes for a beginner.</w:t>
      </w:r>
    </w:p>
    <w:p>
      <w:pPr>
        <w:pStyle w:val="Heading2"/>
        <w:spacing w:after="120" w:before="240"/>
      </w:pPr>
      <w:r>
        <w:t xml:space="preserve">5.1 Import &amp; Prepare Data</w:t>
      </w:r>
    </w:p>
    <w:p>
      <w:pPr>
        <w:pStyle w:val="ListParagraph"/>
        <w:numPr>
          <w:ilvl w:val="0"/>
          <w:numId w:val="2"/>
        </w:numPr>
        <w:spacing w:after="90"/>
      </w:pPr>
      <w:r>
        <w:t xml:space="preserve">Open Power BI Desktop → Get Data → Text/CSV → select "Hotel_Bookings_CLEANED_FullDataset.csv" (the full 87,230-row cleaned dataset provided with this project). Click Load.</w:t>
      </w:r>
    </w:p>
    <w:p>
      <w:pPr>
        <w:pStyle w:val="ListParagraph"/>
        <w:numPr>
          <w:ilvl w:val="0"/>
          <w:numId w:val="2"/>
        </w:numPr>
        <w:spacing w:after="90"/>
      </w:pPr>
      <w:r>
        <w:t xml:space="preserve">Go to Transform Data (Power Query Editor). Confirm data types: Is Canceled, Lead Time, ADR, Total Nights, Total Revenue → Whole Number/Decimal Number; Arrival Date Month → Text; Reservation Status Date → Date. Click Close &amp; Apply.</w:t>
      </w:r>
    </w:p>
    <w:p>
      <w:pPr>
        <w:pStyle w:val="ListParagraph"/>
        <w:numPr>
          <w:ilvl w:val="0"/>
          <w:numId w:val="2"/>
        </w:numPr>
        <w:spacing w:after="90"/>
      </w:pPr>
      <w:r>
        <w:t xml:space="preserve">Go to Modeling → New Table and create a Calendar table (formula below) for time-intelligence, then mark it as a Date Table (Modeling → Mark as Date Table → pick the Date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Measure Name</w:t>
            </w:r>
          </w:p>
        </w:tc>
        <w:tc>
          <w:tcPr>
            <w:tcW w:type="dxa" w:w="3600"/>
            <w:shd w:fill="1F3864" w:val="clear"/>
            <w:tcMar>
              <w:top w:type="dxa" w:w="60"/>
              <w:left w:type="dxa" w:w="100"/>
              <w:bottom w:type="dxa" w:w="60"/>
              <w:right w:type="dxa" w:w="100"/>
            </w:tcMar>
            <w:vAlign w:val="center"/>
          </w:tcPr>
          <w:p>
            <w:r>
              <w:rPr>
                <w:b/>
                <w:bCs/>
                <w:color w:val="FFFFFF"/>
                <w:sz w:val="20"/>
                <w:szCs w:val="20"/>
              </w:rPr>
              <w:t xml:space="preserve">DAX Formula</w:t>
            </w:r>
          </w:p>
        </w:tc>
        <w:tc>
          <w:tcPr>
            <w:tcW w:type="dxa" w:w="3550"/>
            <w:shd w:fill="1F3864" w:val="clear"/>
            <w:tcMar>
              <w:top w:type="dxa" w:w="60"/>
              <w:left w:type="dxa" w:w="100"/>
              <w:bottom w:type="dxa" w:w="60"/>
              <w:right w:type="dxa" w:w="100"/>
            </w:tcMar>
            <w:vAlign w:val="center"/>
          </w:tcPr>
          <w:p>
            <w:r>
              <w:rPr>
                <w:b/>
                <w:bCs/>
                <w:color w:val="FFFFFF"/>
                <w:sz w:val="20"/>
                <w:szCs w:val="20"/>
              </w:rPr>
              <w:t xml:space="preserve">Explanation</w:t>
            </w:r>
          </w:p>
        </w:tc>
      </w:tr>
      <w:tr>
        <w:tc>
          <w:tcPr>
            <w:tcW w:type="dxa" w:w="2200"/>
            <w:shd w:fill="FFFFFF" w:val="clear"/>
            <w:tcMar>
              <w:top w:type="dxa" w:w="60"/>
              <w:left w:type="dxa" w:w="100"/>
              <w:bottom w:type="dxa" w:w="60"/>
              <w:right w:type="dxa" w:w="100"/>
            </w:tcMar>
          </w:tcPr>
          <w:p>
            <w:r>
              <w:rPr>
                <w:b/>
                <w:bCs/>
                <w:sz w:val="20"/>
                <w:szCs w:val="20"/>
              </w:rPr>
              <w:t xml:space="preserve">Calendar</w:t>
            </w:r>
          </w:p>
        </w:tc>
        <w:tc>
          <w:tcPr>
            <w:tcW w:type="dxa" w:w="3600"/>
            <w:shd w:fill="FFFFFF" w:val="clear"/>
            <w:tcMar>
              <w:top w:type="dxa" w:w="60"/>
              <w:left w:type="dxa" w:w="100"/>
              <w:bottom w:type="dxa" w:w="60"/>
              <w:right w:type="dxa" w:w="100"/>
            </w:tcMar>
          </w:tcPr>
          <w:p>
            <w:r>
              <w:rPr>
                <w:rFonts w:ascii="Consolas" w:cs="Consolas" w:eastAsia="Consolas" w:hAnsi="Consolas"/>
                <w:sz w:val="18"/>
                <w:szCs w:val="18"/>
              </w:rPr>
              <w:t xml:space="preserve">Calendar =</w:t>
            </w:r>
          </w:p>
          <w:p>
            <w:r>
              <w:rPr>
                <w:rFonts w:ascii="Consolas" w:cs="Consolas" w:eastAsia="Consolas" w:hAnsi="Consolas"/>
                <w:sz w:val="18"/>
                <w:szCs w:val="18"/>
              </w:rPr>
              <w:t xml:space="preserve">ADDCOLUMNS(</w:t>
            </w:r>
          </w:p>
          <w:p>
            <w:r>
              <w:rPr>
                <w:rFonts w:ascii="Consolas" w:cs="Consolas" w:eastAsia="Consolas" w:hAnsi="Consolas"/>
                <w:sz w:val="18"/>
                <w:szCs w:val="18"/>
              </w:rPr>
              <w:t xml:space="preserve">  CALENDAR(DATE(2015,1,1), DATE(2017,12,31)),</w:t>
            </w:r>
          </w:p>
          <w:p>
            <w:r>
              <w:rPr>
                <w:rFonts w:ascii="Consolas" w:cs="Consolas" w:eastAsia="Consolas" w:hAnsi="Consolas"/>
                <w:sz w:val="18"/>
                <w:szCs w:val="18"/>
              </w:rPr>
              <w:t xml:space="preserve">  "Year", YEAR([Date]),</w:t>
            </w:r>
          </w:p>
          <w:p>
            <w:r>
              <w:rPr>
                <w:rFonts w:ascii="Consolas" w:cs="Consolas" w:eastAsia="Consolas" w:hAnsi="Consolas"/>
                <w:sz w:val="18"/>
                <w:szCs w:val="18"/>
              </w:rPr>
              <w:t xml:space="preserve">  "Month", FORMAT([Date],"MMMM"),</w:t>
            </w:r>
          </w:p>
          <w:p>
            <w:r>
              <w:rPr>
                <w:rFonts w:ascii="Consolas" w:cs="Consolas" w:eastAsia="Consolas" w:hAnsi="Consolas"/>
                <w:sz w:val="18"/>
                <w:szCs w:val="18"/>
              </w:rPr>
              <w:t xml:space="preserve">  "MonthNum", MONTH([Date]),</w:t>
            </w:r>
          </w:p>
          <w:p>
            <w:r>
              <w:rPr>
                <w:rFonts w:ascii="Consolas" w:cs="Consolas" w:eastAsia="Consolas" w:hAnsi="Consolas"/>
                <w:sz w:val="18"/>
                <w:szCs w:val="18"/>
              </w:rPr>
              <w:t xml:space="preserve">  "Quarter", "Q" &amp; FORMAT([Date],"Q")</w:t>
            </w:r>
          </w:p>
          <w:p>
            <w:r>
              <w:rPr>
                <w:rFonts w:ascii="Consolas" w:cs="Consolas" w:eastAsia="Consolas" w:hAnsi="Consolas"/>
                <w:sz w:val="18"/>
                <w:szCs w:val="18"/>
              </w:rPr>
              <w:t xml:space="preserve">)</w:t>
            </w:r>
          </w:p>
        </w:tc>
        <w:tc>
          <w:tcPr>
            <w:tcW w:type="dxa" w:w="3550"/>
            <w:shd w:fill="FFFFFF" w:val="clear"/>
            <w:tcMar>
              <w:top w:type="dxa" w:w="60"/>
              <w:left w:type="dxa" w:w="100"/>
              <w:bottom w:type="dxa" w:w="60"/>
              <w:right w:type="dxa" w:w="100"/>
            </w:tcMar>
            <w:vAlign w:val="center"/>
          </w:tcPr>
          <w:p>
            <w:r>
              <w:rPr>
                <w:b w:val="false"/>
                <w:bCs w:val="false"/>
                <w:sz w:val="20"/>
                <w:szCs w:val="20"/>
              </w:rPr>
              <w:t xml:space="preserve">A standalone date table spanning the dataset's date range, used for consistent time-intelligence and correct chronological month sorting (sort Month column by MonthNum).</w:t>
            </w:r>
          </w:p>
        </w:tc>
      </w:tr>
    </w:tbl>
    <w:p>
      <w:pPr>
        <w:pStyle w:val="Heading2"/>
        <w:spacing w:after="120" w:before="240"/>
      </w:pPr>
      <w:r>
        <w:t xml:space="preserve">5.2 Core DAX Measures</w:t>
      </w:r>
    </w:p>
    <w:p>
      <w:pPr>
        <w:spacing w:after="160"/>
        <w:jc w:val="left"/>
      </w:pPr>
      <w:r>
        <w:t xml:space="preserve">Create these in a new Measures table (Modeling → New Table → name it "_Measures", then New Measure for each row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Measure Name</w:t>
            </w:r>
          </w:p>
        </w:tc>
        <w:tc>
          <w:tcPr>
            <w:tcW w:type="dxa" w:w="3600"/>
            <w:shd w:fill="1F3864" w:val="clear"/>
            <w:tcMar>
              <w:top w:type="dxa" w:w="60"/>
              <w:left w:type="dxa" w:w="100"/>
              <w:bottom w:type="dxa" w:w="60"/>
              <w:right w:type="dxa" w:w="100"/>
            </w:tcMar>
            <w:vAlign w:val="center"/>
          </w:tcPr>
          <w:p>
            <w:r>
              <w:rPr>
                <w:b/>
                <w:bCs/>
                <w:color w:val="FFFFFF"/>
                <w:sz w:val="20"/>
                <w:szCs w:val="20"/>
              </w:rPr>
              <w:t xml:space="preserve">DAX Formula</w:t>
            </w:r>
          </w:p>
        </w:tc>
        <w:tc>
          <w:tcPr>
            <w:tcW w:type="dxa" w:w="3550"/>
            <w:shd w:fill="1F3864" w:val="clear"/>
            <w:tcMar>
              <w:top w:type="dxa" w:w="60"/>
              <w:left w:type="dxa" w:w="100"/>
              <w:bottom w:type="dxa" w:w="60"/>
              <w:right w:type="dxa" w:w="100"/>
            </w:tcMar>
            <w:vAlign w:val="center"/>
          </w:tcPr>
          <w:p>
            <w:r>
              <w:rPr>
                <w:b/>
                <w:bCs/>
                <w:color w:val="FFFFFF"/>
                <w:sz w:val="20"/>
                <w:szCs w:val="20"/>
              </w:rPr>
              <w:t xml:space="preserve">Explanation</w:t>
            </w:r>
          </w:p>
        </w:tc>
      </w:tr>
      <w:tr>
        <w:tc>
          <w:tcPr>
            <w:tcW w:type="dxa" w:w="2200"/>
            <w:shd w:fill="FFFFFF" w:val="clear"/>
            <w:tcMar>
              <w:top w:type="dxa" w:w="60"/>
              <w:left w:type="dxa" w:w="100"/>
              <w:bottom w:type="dxa" w:w="60"/>
              <w:right w:type="dxa" w:w="100"/>
            </w:tcMar>
          </w:tcPr>
          <w:p>
            <w:r>
              <w:rPr>
                <w:b/>
                <w:bCs/>
                <w:sz w:val="20"/>
                <w:szCs w:val="20"/>
              </w:rPr>
              <w:t xml:space="preserve">Total Bookings</w:t>
            </w:r>
          </w:p>
        </w:tc>
        <w:tc>
          <w:tcPr>
            <w:tcW w:type="dxa" w:w="3600"/>
            <w:shd w:fill="FFFFFF" w:val="clear"/>
            <w:tcMar>
              <w:top w:type="dxa" w:w="60"/>
              <w:left w:type="dxa" w:w="100"/>
              <w:bottom w:type="dxa" w:w="60"/>
              <w:right w:type="dxa" w:w="100"/>
            </w:tcMar>
          </w:tcPr>
          <w:p>
            <w:r>
              <w:rPr>
                <w:rFonts w:ascii="Consolas" w:cs="Consolas" w:eastAsia="Consolas" w:hAnsi="Consolas"/>
                <w:sz w:val="18"/>
                <w:szCs w:val="18"/>
              </w:rPr>
              <w:t xml:space="preserve">Total Bookings = COUNTROWS(Bookings)</w:t>
            </w:r>
          </w:p>
        </w:tc>
        <w:tc>
          <w:tcPr>
            <w:tcW w:type="dxa" w:w="3550"/>
            <w:shd w:fill="FFFFFF" w:val="clear"/>
            <w:tcMar>
              <w:top w:type="dxa" w:w="60"/>
              <w:left w:type="dxa" w:w="100"/>
              <w:bottom w:type="dxa" w:w="60"/>
              <w:right w:type="dxa" w:w="100"/>
            </w:tcMar>
            <w:vAlign w:val="center"/>
          </w:tcPr>
          <w:p>
            <w:r>
              <w:rPr>
                <w:b w:val="false"/>
                <w:bCs w:val="false"/>
                <w:sz w:val="20"/>
                <w:szCs w:val="20"/>
              </w:rPr>
              <w:t xml:space="preserve">Row count of the bookings table — the base measure every KPI card and visual builds on.</w:t>
            </w:r>
          </w:p>
        </w:tc>
      </w:tr>
      <w:tr>
        <w:tc>
          <w:tcPr>
            <w:tcW w:type="dxa" w:w="2200"/>
            <w:shd w:fill="F2F2F2" w:val="clear"/>
            <w:tcMar>
              <w:top w:type="dxa" w:w="60"/>
              <w:left w:type="dxa" w:w="100"/>
              <w:bottom w:type="dxa" w:w="60"/>
              <w:right w:type="dxa" w:w="100"/>
            </w:tcMar>
          </w:tcPr>
          <w:p>
            <w:r>
              <w:rPr>
                <w:b/>
                <w:bCs/>
                <w:sz w:val="20"/>
                <w:szCs w:val="20"/>
              </w:rPr>
              <w:t xml:space="preserve">Cancelled Bookings</w:t>
            </w:r>
          </w:p>
        </w:tc>
        <w:tc>
          <w:tcPr>
            <w:tcW w:type="dxa" w:w="3600"/>
            <w:shd w:fill="F2F2F2" w:val="clear"/>
            <w:tcMar>
              <w:top w:type="dxa" w:w="60"/>
              <w:left w:type="dxa" w:w="100"/>
              <w:bottom w:type="dxa" w:w="60"/>
              <w:right w:type="dxa" w:w="100"/>
            </w:tcMar>
          </w:tcPr>
          <w:p>
            <w:r>
              <w:rPr>
                <w:rFonts w:ascii="Consolas" w:cs="Consolas" w:eastAsia="Consolas" w:hAnsi="Consolas"/>
                <w:sz w:val="18"/>
                <w:szCs w:val="18"/>
              </w:rPr>
              <w:t xml:space="preserve">Cancelled Bookings =</w:t>
            </w:r>
          </w:p>
          <w:p>
            <w:r>
              <w:rPr>
                <w:rFonts w:ascii="Consolas" w:cs="Consolas" w:eastAsia="Consolas" w:hAnsi="Consolas"/>
                <w:sz w:val="18"/>
                <w:szCs w:val="18"/>
              </w:rPr>
              <w:t xml:space="preserve">CALCULATE([Total Bookings], Bookings[is_canceled] = 1)</w:t>
            </w:r>
          </w:p>
        </w:tc>
        <w:tc>
          <w:tcPr>
            <w:tcW w:type="dxa" w:w="3550"/>
            <w:shd w:fill="F2F2F2" w:val="clear"/>
            <w:tcMar>
              <w:top w:type="dxa" w:w="60"/>
              <w:left w:type="dxa" w:w="100"/>
              <w:bottom w:type="dxa" w:w="60"/>
              <w:right w:type="dxa" w:w="100"/>
            </w:tcMar>
            <w:vAlign w:val="center"/>
          </w:tcPr>
          <w:p>
            <w:r>
              <w:rPr>
                <w:b w:val="false"/>
                <w:bCs w:val="false"/>
                <w:sz w:val="20"/>
                <w:szCs w:val="20"/>
              </w:rPr>
              <w:t xml:space="preserve">Counts only rows flagged as cancelled.</w:t>
            </w:r>
          </w:p>
        </w:tc>
      </w:tr>
      <w:tr>
        <w:tc>
          <w:tcPr>
            <w:tcW w:type="dxa" w:w="2200"/>
            <w:shd w:fill="FFFFFF" w:val="clear"/>
            <w:tcMar>
              <w:top w:type="dxa" w:w="60"/>
              <w:left w:type="dxa" w:w="100"/>
              <w:bottom w:type="dxa" w:w="60"/>
              <w:right w:type="dxa" w:w="100"/>
            </w:tcMar>
          </w:tcPr>
          <w:p>
            <w:r>
              <w:rPr>
                <w:b/>
                <w:bCs/>
                <w:sz w:val="20"/>
                <w:szCs w:val="20"/>
              </w:rPr>
              <w:t xml:space="preserve">Cancellation Rate</w:t>
            </w:r>
          </w:p>
        </w:tc>
        <w:tc>
          <w:tcPr>
            <w:tcW w:type="dxa" w:w="3600"/>
            <w:shd w:fill="FFFFFF" w:val="clear"/>
            <w:tcMar>
              <w:top w:type="dxa" w:w="60"/>
              <w:left w:type="dxa" w:w="100"/>
              <w:bottom w:type="dxa" w:w="60"/>
              <w:right w:type="dxa" w:w="100"/>
            </w:tcMar>
          </w:tcPr>
          <w:p>
            <w:r>
              <w:rPr>
                <w:rFonts w:ascii="Consolas" w:cs="Consolas" w:eastAsia="Consolas" w:hAnsi="Consolas"/>
                <w:sz w:val="18"/>
                <w:szCs w:val="18"/>
              </w:rPr>
              <w:t xml:space="preserve">Cancellation Rate =</w:t>
            </w:r>
          </w:p>
          <w:p>
            <w:r>
              <w:rPr>
                <w:rFonts w:ascii="Consolas" w:cs="Consolas" w:eastAsia="Consolas" w:hAnsi="Consolas"/>
                <w:sz w:val="18"/>
                <w:szCs w:val="18"/>
              </w:rPr>
              <w:t xml:space="preserve">DIVIDE([Cancelled Bookings], [Total Bookings], 0)</w:t>
            </w:r>
          </w:p>
        </w:tc>
        <w:tc>
          <w:tcPr>
            <w:tcW w:type="dxa" w:w="3550"/>
            <w:shd w:fill="FFFFFF" w:val="clear"/>
            <w:tcMar>
              <w:top w:type="dxa" w:w="60"/>
              <w:left w:type="dxa" w:w="100"/>
              <w:bottom w:type="dxa" w:w="60"/>
              <w:right w:type="dxa" w:w="100"/>
            </w:tcMar>
            <w:vAlign w:val="center"/>
          </w:tcPr>
          <w:p>
            <w:r>
              <w:rPr>
                <w:b w:val="false"/>
                <w:bCs w:val="false"/>
                <w:sz w:val="20"/>
                <w:szCs w:val="20"/>
              </w:rPr>
              <w:t xml:space="preserve">DIVIDE guards against a divide-by-zero error when a filter returns no rows — always prefer it over the "/" operator in DAX.</w:t>
            </w:r>
          </w:p>
        </w:tc>
      </w:tr>
      <w:tr>
        <w:tc>
          <w:tcPr>
            <w:tcW w:type="dxa" w:w="2200"/>
            <w:shd w:fill="F2F2F2" w:val="clear"/>
            <w:tcMar>
              <w:top w:type="dxa" w:w="60"/>
              <w:left w:type="dxa" w:w="100"/>
              <w:bottom w:type="dxa" w:w="60"/>
              <w:right w:type="dxa" w:w="100"/>
            </w:tcMar>
          </w:tcPr>
          <w:p>
            <w:r>
              <w:rPr>
                <w:b/>
                <w:bCs/>
                <w:sz w:val="20"/>
                <w:szCs w:val="20"/>
              </w:rPr>
              <w:t xml:space="preserve">Total Revenue</w:t>
            </w:r>
          </w:p>
        </w:tc>
        <w:tc>
          <w:tcPr>
            <w:tcW w:type="dxa" w:w="3600"/>
            <w:shd w:fill="F2F2F2" w:val="clear"/>
            <w:tcMar>
              <w:top w:type="dxa" w:w="60"/>
              <w:left w:type="dxa" w:w="100"/>
              <w:bottom w:type="dxa" w:w="60"/>
              <w:right w:type="dxa" w:w="100"/>
            </w:tcMar>
          </w:tcPr>
          <w:p>
            <w:r>
              <w:rPr>
                <w:rFonts w:ascii="Consolas" w:cs="Consolas" w:eastAsia="Consolas" w:hAnsi="Consolas"/>
                <w:sz w:val="18"/>
                <w:szCs w:val="18"/>
              </w:rPr>
              <w:t xml:space="preserve">Total Revenue =</w:t>
            </w:r>
          </w:p>
          <w:p>
            <w:r>
              <w:rPr>
                <w:rFonts w:ascii="Consolas" w:cs="Consolas" w:eastAsia="Consolas" w:hAnsi="Consolas"/>
                <w:sz w:val="18"/>
                <w:szCs w:val="18"/>
              </w:rPr>
              <w:t xml:space="preserve">CALCULATE(</w:t>
            </w:r>
          </w:p>
          <w:p>
            <w:r>
              <w:rPr>
                <w:rFonts w:ascii="Consolas" w:cs="Consolas" w:eastAsia="Consolas" w:hAnsi="Consolas"/>
                <w:sz w:val="18"/>
                <w:szCs w:val="18"/>
              </w:rPr>
              <w:t xml:space="preserve">  SUMX(Bookings, Bookings[adr] * Bookings[total_nights]),</w:t>
            </w:r>
          </w:p>
          <w:p>
            <w:r>
              <w:rPr>
                <w:rFonts w:ascii="Consolas" w:cs="Consolas" w:eastAsia="Consolas" w:hAnsi="Consolas"/>
                <w:sz w:val="18"/>
                <w:szCs w:val="18"/>
              </w:rPr>
              <w:t xml:space="preserve">  Bookings[is_canceled] = 0</w:t>
            </w:r>
          </w:p>
          <w:p>
            <w:r>
              <w:rPr>
                <w:rFonts w:ascii="Consolas" w:cs="Consolas" w:eastAsia="Consolas" w:hAnsi="Consolas"/>
                <w:sz w:val="18"/>
                <w:szCs w:val="18"/>
              </w:rPr>
              <w:t xml:space="preserve">)</w:t>
            </w:r>
          </w:p>
        </w:tc>
        <w:tc>
          <w:tcPr>
            <w:tcW w:type="dxa" w:w="3550"/>
            <w:shd w:fill="F2F2F2" w:val="clear"/>
            <w:tcMar>
              <w:top w:type="dxa" w:w="60"/>
              <w:left w:type="dxa" w:w="100"/>
              <w:bottom w:type="dxa" w:w="60"/>
              <w:right w:type="dxa" w:w="100"/>
            </w:tcMar>
            <w:vAlign w:val="center"/>
          </w:tcPr>
          <w:p>
            <w:r>
              <w:rPr>
                <w:b w:val="false"/>
                <w:bCs w:val="false"/>
                <w:sz w:val="20"/>
                <w:szCs w:val="20"/>
              </w:rPr>
              <w:t xml:space="preserve">Revenue is only realised on completed stays, so cancelled bookings are excluded. SUMX multiplies ADR x nights per row before summing (a simple SUM would be wrong here).</w:t>
            </w:r>
          </w:p>
        </w:tc>
      </w:tr>
      <w:tr>
        <w:tc>
          <w:tcPr>
            <w:tcW w:type="dxa" w:w="2200"/>
            <w:shd w:fill="FFFFFF" w:val="clear"/>
            <w:tcMar>
              <w:top w:type="dxa" w:w="60"/>
              <w:left w:type="dxa" w:w="100"/>
              <w:bottom w:type="dxa" w:w="60"/>
              <w:right w:type="dxa" w:w="100"/>
            </w:tcMar>
          </w:tcPr>
          <w:p>
            <w:r>
              <w:rPr>
                <w:b/>
                <w:bCs/>
                <w:sz w:val="20"/>
                <w:szCs w:val="20"/>
              </w:rPr>
              <w:t xml:space="preserve">Potential Revenue (incl. cancellations)</w:t>
            </w:r>
          </w:p>
        </w:tc>
        <w:tc>
          <w:tcPr>
            <w:tcW w:type="dxa" w:w="3600"/>
            <w:shd w:fill="FFFFFF" w:val="clear"/>
            <w:tcMar>
              <w:top w:type="dxa" w:w="60"/>
              <w:left w:type="dxa" w:w="100"/>
              <w:bottom w:type="dxa" w:w="60"/>
              <w:right w:type="dxa" w:w="100"/>
            </w:tcMar>
          </w:tcPr>
          <w:p>
            <w:r>
              <w:rPr>
                <w:rFonts w:ascii="Consolas" w:cs="Consolas" w:eastAsia="Consolas" w:hAnsi="Consolas"/>
                <w:sz w:val="18"/>
                <w:szCs w:val="18"/>
              </w:rPr>
              <w:t xml:space="preserve">Potential Revenue =</w:t>
            </w:r>
          </w:p>
          <w:p>
            <w:r>
              <w:rPr>
                <w:rFonts w:ascii="Consolas" w:cs="Consolas" w:eastAsia="Consolas" w:hAnsi="Consolas"/>
                <w:sz w:val="18"/>
                <w:szCs w:val="18"/>
              </w:rPr>
              <w:t xml:space="preserve">SUMX(Bookings, Bookings[adr] * Bookings[total_nights])</w:t>
            </w:r>
          </w:p>
        </w:tc>
        <w:tc>
          <w:tcPr>
            <w:tcW w:type="dxa" w:w="3550"/>
            <w:shd w:fill="FFFFFF" w:val="clear"/>
            <w:tcMar>
              <w:top w:type="dxa" w:w="60"/>
              <w:left w:type="dxa" w:w="100"/>
              <w:bottom w:type="dxa" w:w="60"/>
              <w:right w:type="dxa" w:w="100"/>
            </w:tcMar>
            <w:vAlign w:val="center"/>
          </w:tcPr>
          <w:p>
            <w:r>
              <w:rPr>
                <w:b w:val="false"/>
                <w:bCs w:val="false"/>
                <w:sz w:val="20"/>
                <w:szCs w:val="20"/>
              </w:rPr>
              <w:t xml:space="preserve">Total revenue if nothing had been cancelled — useful to show alongside Total Revenue to visualise revenue "leakage".</w:t>
            </w:r>
          </w:p>
        </w:tc>
      </w:tr>
      <w:tr>
        <w:tc>
          <w:tcPr>
            <w:tcW w:type="dxa" w:w="2200"/>
            <w:shd w:fill="F2F2F2" w:val="clear"/>
            <w:tcMar>
              <w:top w:type="dxa" w:w="60"/>
              <w:left w:type="dxa" w:w="100"/>
              <w:bottom w:type="dxa" w:w="60"/>
              <w:right w:type="dxa" w:w="100"/>
            </w:tcMar>
          </w:tcPr>
          <w:p>
            <w:r>
              <w:rPr>
                <w:b/>
                <w:bCs/>
                <w:sz w:val="20"/>
                <w:szCs w:val="20"/>
              </w:rPr>
              <w:t xml:space="preserve">Lost Revenue to Cancellations</w:t>
            </w:r>
          </w:p>
        </w:tc>
        <w:tc>
          <w:tcPr>
            <w:tcW w:type="dxa" w:w="3600"/>
            <w:shd w:fill="F2F2F2" w:val="clear"/>
            <w:tcMar>
              <w:top w:type="dxa" w:w="60"/>
              <w:left w:type="dxa" w:w="100"/>
              <w:bottom w:type="dxa" w:w="60"/>
              <w:right w:type="dxa" w:w="100"/>
            </w:tcMar>
          </w:tcPr>
          <w:p>
            <w:r>
              <w:rPr>
                <w:rFonts w:ascii="Consolas" w:cs="Consolas" w:eastAsia="Consolas" w:hAnsi="Consolas"/>
                <w:sz w:val="18"/>
                <w:szCs w:val="18"/>
              </w:rPr>
              <w:t xml:space="preserve">Lost Revenue =</w:t>
            </w:r>
          </w:p>
          <w:p>
            <w:r>
              <w:rPr>
                <w:rFonts w:ascii="Consolas" w:cs="Consolas" w:eastAsia="Consolas" w:hAnsi="Consolas"/>
                <w:sz w:val="18"/>
                <w:szCs w:val="18"/>
              </w:rPr>
              <w:t xml:space="preserve">[Potential Revenue] - [Total Revenue]</w:t>
            </w:r>
          </w:p>
        </w:tc>
        <w:tc>
          <w:tcPr>
            <w:tcW w:type="dxa" w:w="3550"/>
            <w:shd w:fill="F2F2F2" w:val="clear"/>
            <w:tcMar>
              <w:top w:type="dxa" w:w="60"/>
              <w:left w:type="dxa" w:w="100"/>
              <w:bottom w:type="dxa" w:w="60"/>
              <w:right w:type="dxa" w:w="100"/>
            </w:tcMar>
            <w:vAlign w:val="center"/>
          </w:tcPr>
          <w:p>
            <w:r>
              <w:rPr>
                <w:b w:val="false"/>
                <w:bCs w:val="false"/>
                <w:sz w:val="20"/>
                <w:szCs w:val="20"/>
              </w:rPr>
              <w:t xml:space="preserve">Direct measure of cancellation cost — a strong headline KPI for management.</w:t>
            </w:r>
          </w:p>
        </w:tc>
      </w:tr>
      <w:tr>
        <w:tc>
          <w:tcPr>
            <w:tcW w:type="dxa" w:w="2200"/>
            <w:shd w:fill="FFFFFF" w:val="clear"/>
            <w:tcMar>
              <w:top w:type="dxa" w:w="60"/>
              <w:left w:type="dxa" w:w="100"/>
              <w:bottom w:type="dxa" w:w="60"/>
              <w:right w:type="dxa" w:w="100"/>
            </w:tcMar>
          </w:tcPr>
          <w:p>
            <w:r>
              <w:rPr>
                <w:b/>
                <w:bCs/>
                <w:sz w:val="20"/>
                <w:szCs w:val="20"/>
              </w:rPr>
              <w:t xml:space="preserve">Average ADR</w:t>
            </w:r>
          </w:p>
        </w:tc>
        <w:tc>
          <w:tcPr>
            <w:tcW w:type="dxa" w:w="3600"/>
            <w:shd w:fill="FFFFFF" w:val="clear"/>
            <w:tcMar>
              <w:top w:type="dxa" w:w="60"/>
              <w:left w:type="dxa" w:w="100"/>
              <w:bottom w:type="dxa" w:w="60"/>
              <w:right w:type="dxa" w:w="100"/>
            </w:tcMar>
          </w:tcPr>
          <w:p>
            <w:r>
              <w:rPr>
                <w:rFonts w:ascii="Consolas" w:cs="Consolas" w:eastAsia="Consolas" w:hAnsi="Consolas"/>
                <w:sz w:val="18"/>
                <w:szCs w:val="18"/>
              </w:rPr>
              <w:t xml:space="preserve">Average ADR = AVERAGE(Bookings[adr])</w:t>
            </w:r>
          </w:p>
        </w:tc>
        <w:tc>
          <w:tcPr>
            <w:tcW w:type="dxa" w:w="3550"/>
            <w:shd w:fill="FFFFFF" w:val="clear"/>
            <w:tcMar>
              <w:top w:type="dxa" w:w="60"/>
              <w:left w:type="dxa" w:w="100"/>
              <w:bottom w:type="dxa" w:w="60"/>
              <w:right w:type="dxa" w:w="100"/>
            </w:tcMar>
            <w:vAlign w:val="center"/>
          </w:tcPr>
          <w:p>
            <w:r>
              <w:rPr>
                <w:b w:val="false"/>
                <w:bCs w:val="false"/>
                <w:sz w:val="20"/>
                <w:szCs w:val="20"/>
              </w:rPr>
              <w:t xml:space="preserve">Average Daily Rate across all bookings in the current filter context.</w:t>
            </w:r>
          </w:p>
        </w:tc>
      </w:tr>
      <w:tr>
        <w:tc>
          <w:tcPr>
            <w:tcW w:type="dxa" w:w="2200"/>
            <w:shd w:fill="F2F2F2" w:val="clear"/>
            <w:tcMar>
              <w:top w:type="dxa" w:w="60"/>
              <w:left w:type="dxa" w:w="100"/>
              <w:bottom w:type="dxa" w:w="60"/>
              <w:right w:type="dxa" w:w="100"/>
            </w:tcMar>
          </w:tcPr>
          <w:p>
            <w:r>
              <w:rPr>
                <w:b/>
                <w:bCs/>
                <w:sz w:val="20"/>
                <w:szCs w:val="20"/>
              </w:rPr>
              <w:t xml:space="preserve">Average Lead Time</w:t>
            </w:r>
          </w:p>
        </w:tc>
        <w:tc>
          <w:tcPr>
            <w:tcW w:type="dxa" w:w="3600"/>
            <w:shd w:fill="F2F2F2" w:val="clear"/>
            <w:tcMar>
              <w:top w:type="dxa" w:w="60"/>
              <w:left w:type="dxa" w:w="100"/>
              <w:bottom w:type="dxa" w:w="60"/>
              <w:right w:type="dxa" w:w="100"/>
            </w:tcMar>
          </w:tcPr>
          <w:p>
            <w:r>
              <w:rPr>
                <w:rFonts w:ascii="Consolas" w:cs="Consolas" w:eastAsia="Consolas" w:hAnsi="Consolas"/>
                <w:sz w:val="18"/>
                <w:szCs w:val="18"/>
              </w:rPr>
              <w:t xml:space="preserve">Average Lead Time = AVERAGE(Bookings[lead_time])</w:t>
            </w:r>
          </w:p>
        </w:tc>
        <w:tc>
          <w:tcPr>
            <w:tcW w:type="dxa" w:w="3550"/>
            <w:shd w:fill="F2F2F2" w:val="clear"/>
            <w:tcMar>
              <w:top w:type="dxa" w:w="60"/>
              <w:left w:type="dxa" w:w="100"/>
              <w:bottom w:type="dxa" w:w="60"/>
              <w:right w:type="dxa" w:w="100"/>
            </w:tcMar>
            <w:vAlign w:val="center"/>
          </w:tcPr>
          <w:p>
            <w:r>
              <w:rPr>
                <w:b w:val="false"/>
                <w:bCs w:val="false"/>
                <w:sz w:val="20"/>
                <w:szCs w:val="20"/>
              </w:rPr>
              <w:t xml:space="preserve">Average number of days between booking date and arrival date.</w:t>
            </w:r>
          </w:p>
        </w:tc>
      </w:tr>
      <w:tr>
        <w:tc>
          <w:tcPr>
            <w:tcW w:type="dxa" w:w="2200"/>
            <w:shd w:fill="FFFFFF" w:val="clear"/>
            <w:tcMar>
              <w:top w:type="dxa" w:w="60"/>
              <w:left w:type="dxa" w:w="100"/>
              <w:bottom w:type="dxa" w:w="60"/>
              <w:right w:type="dxa" w:w="100"/>
            </w:tcMar>
          </w:tcPr>
          <w:p>
            <w:r>
              <w:rPr>
                <w:b/>
                <w:bCs/>
                <w:sz w:val="20"/>
                <w:szCs w:val="20"/>
              </w:rPr>
              <w:t xml:space="preserve">Average Stay (Nights)</w:t>
            </w:r>
          </w:p>
        </w:tc>
        <w:tc>
          <w:tcPr>
            <w:tcW w:type="dxa" w:w="3600"/>
            <w:shd w:fill="FFFFFF" w:val="clear"/>
            <w:tcMar>
              <w:top w:type="dxa" w:w="60"/>
              <w:left w:type="dxa" w:w="100"/>
              <w:bottom w:type="dxa" w:w="60"/>
              <w:right w:type="dxa" w:w="100"/>
            </w:tcMar>
          </w:tcPr>
          <w:p>
            <w:r>
              <w:rPr>
                <w:rFonts w:ascii="Consolas" w:cs="Consolas" w:eastAsia="Consolas" w:hAnsi="Consolas"/>
                <w:sz w:val="18"/>
                <w:szCs w:val="18"/>
              </w:rPr>
              <w:t xml:space="preserve">Average Stay =</w:t>
            </w:r>
          </w:p>
          <w:p>
            <w:r>
              <w:rPr>
                <w:rFonts w:ascii="Consolas" w:cs="Consolas" w:eastAsia="Consolas" w:hAnsi="Consolas"/>
                <w:sz w:val="18"/>
                <w:szCs w:val="18"/>
              </w:rPr>
              <w:t xml:space="preserve">AVERAGE(Bookings[total_nights])</w:t>
            </w:r>
          </w:p>
        </w:tc>
        <w:tc>
          <w:tcPr>
            <w:tcW w:type="dxa" w:w="3550"/>
            <w:shd w:fill="FFFFFF" w:val="clear"/>
            <w:tcMar>
              <w:top w:type="dxa" w:w="60"/>
              <w:left w:type="dxa" w:w="100"/>
              <w:bottom w:type="dxa" w:w="60"/>
              <w:right w:type="dxa" w:w="100"/>
            </w:tcMar>
            <w:vAlign w:val="center"/>
          </w:tcPr>
          <w:p>
            <w:r>
              <w:rPr>
                <w:b w:val="false"/>
                <w:bCs w:val="false"/>
                <w:sz w:val="20"/>
                <w:szCs w:val="20"/>
              </w:rPr>
              <w:t xml:space="preserve">Average length of stay in nights.</w:t>
            </w:r>
          </w:p>
        </w:tc>
      </w:tr>
      <w:tr>
        <w:tc>
          <w:tcPr>
            <w:tcW w:type="dxa" w:w="2200"/>
            <w:shd w:fill="F2F2F2" w:val="clear"/>
            <w:tcMar>
              <w:top w:type="dxa" w:w="60"/>
              <w:left w:type="dxa" w:w="100"/>
              <w:bottom w:type="dxa" w:w="60"/>
              <w:right w:type="dxa" w:w="100"/>
            </w:tcMar>
          </w:tcPr>
          <w:p>
            <w:r>
              <w:rPr>
                <w:b/>
                <w:bCs/>
                <w:sz w:val="20"/>
                <w:szCs w:val="20"/>
              </w:rPr>
              <w:t xml:space="preserve">Repeat Guest Rate</w:t>
            </w:r>
          </w:p>
        </w:tc>
        <w:tc>
          <w:tcPr>
            <w:tcW w:type="dxa" w:w="3600"/>
            <w:shd w:fill="F2F2F2" w:val="clear"/>
            <w:tcMar>
              <w:top w:type="dxa" w:w="60"/>
              <w:left w:type="dxa" w:w="100"/>
              <w:bottom w:type="dxa" w:w="60"/>
              <w:right w:type="dxa" w:w="100"/>
            </w:tcMar>
          </w:tcPr>
          <w:p>
            <w:r>
              <w:rPr>
                <w:rFonts w:ascii="Consolas" w:cs="Consolas" w:eastAsia="Consolas" w:hAnsi="Consolas"/>
                <w:sz w:val="18"/>
                <w:szCs w:val="18"/>
              </w:rPr>
              <w:t xml:space="preserve">Repeat Guest Rate =</w:t>
            </w:r>
          </w:p>
          <w:p>
            <w:r>
              <w:rPr>
                <w:rFonts w:ascii="Consolas" w:cs="Consolas" w:eastAsia="Consolas" w:hAnsi="Consolas"/>
                <w:sz w:val="18"/>
                <w:szCs w:val="18"/>
              </w:rPr>
              <w:t xml:space="preserve">DIVIDE(</w:t>
            </w:r>
          </w:p>
          <w:p>
            <w:r>
              <w:rPr>
                <w:rFonts w:ascii="Consolas" w:cs="Consolas" w:eastAsia="Consolas" w:hAnsi="Consolas"/>
                <w:sz w:val="18"/>
                <w:szCs w:val="18"/>
              </w:rPr>
              <w:t xml:space="preserve">  CALCULATE([Total Bookings], Bookings[is_repeated_guest] = 1),</w:t>
            </w:r>
          </w:p>
          <w:p>
            <w:r>
              <w:rPr>
                <w:rFonts w:ascii="Consolas" w:cs="Consolas" w:eastAsia="Consolas" w:hAnsi="Consolas"/>
                <w:sz w:val="18"/>
                <w:szCs w:val="18"/>
              </w:rPr>
              <w:t xml:space="preserve">  [Total Bookings], 0</w:t>
            </w:r>
          </w:p>
          <w:p>
            <w:r>
              <w:rPr>
                <w:rFonts w:ascii="Consolas" w:cs="Consolas" w:eastAsia="Consolas" w:hAnsi="Consolas"/>
                <w:sz w:val="18"/>
                <w:szCs w:val="18"/>
              </w:rPr>
              <w:t xml:space="preserve">)</w:t>
            </w:r>
          </w:p>
        </w:tc>
        <w:tc>
          <w:tcPr>
            <w:tcW w:type="dxa" w:w="3550"/>
            <w:shd w:fill="F2F2F2" w:val="clear"/>
            <w:tcMar>
              <w:top w:type="dxa" w:w="60"/>
              <w:left w:type="dxa" w:w="100"/>
              <w:bottom w:type="dxa" w:w="60"/>
              <w:right w:type="dxa" w:w="100"/>
            </w:tcMar>
            <w:vAlign w:val="center"/>
          </w:tcPr>
          <w:p>
            <w:r>
              <w:rPr>
                <w:b w:val="false"/>
                <w:bCs w:val="false"/>
                <w:sz w:val="20"/>
                <w:szCs w:val="20"/>
              </w:rPr>
              <w:t xml:space="preserve">Share of bookings made by guests who have booked before — a loyalty indicator.</w:t>
            </w:r>
          </w:p>
        </w:tc>
      </w:tr>
      <w:tr>
        <w:tc>
          <w:tcPr>
            <w:tcW w:type="dxa" w:w="2200"/>
            <w:shd w:fill="FFFFFF" w:val="clear"/>
            <w:tcMar>
              <w:top w:type="dxa" w:w="60"/>
              <w:left w:type="dxa" w:w="100"/>
              <w:bottom w:type="dxa" w:w="60"/>
              <w:right w:type="dxa" w:w="100"/>
            </w:tcMar>
          </w:tcPr>
          <w:p>
            <w:r>
              <w:rPr>
                <w:b/>
                <w:bCs/>
                <w:sz w:val="20"/>
                <w:szCs w:val="20"/>
              </w:rPr>
              <w:t xml:space="preserve">YoY Booking Growth</w:t>
            </w:r>
          </w:p>
        </w:tc>
        <w:tc>
          <w:tcPr>
            <w:tcW w:type="dxa" w:w="3600"/>
            <w:shd w:fill="FFFFFF" w:val="clear"/>
            <w:tcMar>
              <w:top w:type="dxa" w:w="60"/>
              <w:left w:type="dxa" w:w="100"/>
              <w:bottom w:type="dxa" w:w="60"/>
              <w:right w:type="dxa" w:w="100"/>
            </w:tcMar>
          </w:tcPr>
          <w:p>
            <w:r>
              <w:rPr>
                <w:rFonts w:ascii="Consolas" w:cs="Consolas" w:eastAsia="Consolas" w:hAnsi="Consolas"/>
                <w:sz w:val="18"/>
                <w:szCs w:val="18"/>
              </w:rPr>
              <w:t xml:space="preserve">YoY Growth =</w:t>
            </w:r>
          </w:p>
          <w:p>
            <w:r>
              <w:rPr>
                <w:rFonts w:ascii="Consolas" w:cs="Consolas" w:eastAsia="Consolas" w:hAnsi="Consolas"/>
                <w:sz w:val="18"/>
                <w:szCs w:val="18"/>
              </w:rPr>
              <w:t xml:space="preserve">VAR CurYear = [Total Bookings]</w:t>
            </w:r>
          </w:p>
          <w:p>
            <w:r>
              <w:rPr>
                <w:rFonts w:ascii="Consolas" w:cs="Consolas" w:eastAsia="Consolas" w:hAnsi="Consolas"/>
                <w:sz w:val="18"/>
                <w:szCs w:val="18"/>
              </w:rPr>
              <w:t xml:space="preserve">VAR PrevYear = CALCULATE([Total Bookings], SAMEPERIODLASTYEAR('Calendar'[Date]))</w:t>
            </w:r>
          </w:p>
          <w:p>
            <w:r>
              <w:rPr>
                <w:rFonts w:ascii="Consolas" w:cs="Consolas" w:eastAsia="Consolas" w:hAnsi="Consolas"/>
                <w:sz w:val="18"/>
                <w:szCs w:val="18"/>
              </w:rPr>
              <w:t xml:space="preserve">RETURN DIVIDE(CurYear - PrevYear, PrevYear, 0)</w:t>
            </w:r>
          </w:p>
        </w:tc>
        <w:tc>
          <w:tcPr>
            <w:tcW w:type="dxa" w:w="3550"/>
            <w:shd w:fill="FFFFFF" w:val="clear"/>
            <w:tcMar>
              <w:top w:type="dxa" w:w="60"/>
              <w:left w:type="dxa" w:w="100"/>
              <w:bottom w:type="dxa" w:w="60"/>
              <w:right w:type="dxa" w:w="100"/>
            </w:tcMar>
            <w:vAlign w:val="center"/>
          </w:tcPr>
          <w:p>
            <w:r>
              <w:rPr>
                <w:b w:val="false"/>
                <w:bCs w:val="false"/>
                <w:sz w:val="20"/>
                <w:szCs w:val="20"/>
              </w:rPr>
              <w:t xml:space="preserve">Year-over-year booking trend, used on the Overview page trend card. Requires the Calendar date table to be related to Bookings and marked as a date table.</w:t>
            </w:r>
          </w:p>
        </w:tc>
      </w:tr>
      <w:tr>
        <w:tc>
          <w:tcPr>
            <w:tcW w:type="dxa" w:w="2200"/>
            <w:shd w:fill="F2F2F2" w:val="clear"/>
            <w:tcMar>
              <w:top w:type="dxa" w:w="60"/>
              <w:left w:type="dxa" w:w="100"/>
              <w:bottom w:type="dxa" w:w="60"/>
              <w:right w:type="dxa" w:w="100"/>
            </w:tcMar>
          </w:tcPr>
          <w:p>
            <w:r>
              <w:rPr>
                <w:b/>
                <w:bCs/>
                <w:sz w:val="20"/>
                <w:szCs w:val="20"/>
              </w:rPr>
              <w:t xml:space="preserve">Cancel Rate (Non-Refundable)</w:t>
            </w:r>
          </w:p>
        </w:tc>
        <w:tc>
          <w:tcPr>
            <w:tcW w:type="dxa" w:w="3600"/>
            <w:shd w:fill="F2F2F2" w:val="clear"/>
            <w:tcMar>
              <w:top w:type="dxa" w:w="60"/>
              <w:left w:type="dxa" w:w="100"/>
              <w:bottom w:type="dxa" w:w="60"/>
              <w:right w:type="dxa" w:w="100"/>
            </w:tcMar>
          </w:tcPr>
          <w:p>
            <w:r>
              <w:rPr>
                <w:rFonts w:ascii="Consolas" w:cs="Consolas" w:eastAsia="Consolas" w:hAnsi="Consolas"/>
                <w:sz w:val="18"/>
                <w:szCs w:val="18"/>
              </w:rPr>
              <w:t xml:space="preserve">Non-Refund Cancel Rate =</w:t>
            </w:r>
          </w:p>
          <w:p>
            <w:r>
              <w:rPr>
                <w:rFonts w:ascii="Consolas" w:cs="Consolas" w:eastAsia="Consolas" w:hAnsi="Consolas"/>
                <w:sz w:val="18"/>
                <w:szCs w:val="18"/>
              </w:rPr>
              <w:t xml:space="preserve">CALCULATE([Cancellation Rate], Bookings[deposit_type] = "Non Refund")</w:t>
            </w:r>
          </w:p>
        </w:tc>
        <w:tc>
          <w:tcPr>
            <w:tcW w:type="dxa" w:w="3550"/>
            <w:shd w:fill="F2F2F2" w:val="clear"/>
            <w:tcMar>
              <w:top w:type="dxa" w:w="60"/>
              <w:left w:type="dxa" w:w="100"/>
              <w:bottom w:type="dxa" w:w="60"/>
              <w:right w:type="dxa" w:w="100"/>
            </w:tcMar>
            <w:vAlign w:val="center"/>
          </w:tcPr>
          <w:p>
            <w:r>
              <w:rPr>
                <w:b w:val="false"/>
                <w:bCs w:val="false"/>
                <w:sz w:val="20"/>
                <w:szCs w:val="20"/>
              </w:rPr>
              <w:t xml:space="preserve">Isolates the cancellation rate for the highest-risk deposit segment — used to validate the deposit-policy recommendation in Section 7.</w:t>
            </w:r>
          </w:p>
        </w:tc>
      </w:tr>
    </w:tbl>
    <w:p>
      <w:pPr>
        <w:pStyle w:val="Heading2"/>
        <w:spacing w:after="120" w:before="240"/>
      </w:pPr>
      <w:r>
        <w:t xml:space="preserve">5.3 Report Pages &amp; Visuals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00"/>
            <w:shd w:fill="1F3864" w:val="clear"/>
            <w:tcMar>
              <w:top w:type="dxa" w:w="60"/>
              <w:left w:type="dxa" w:w="100"/>
              <w:bottom w:type="dxa" w:w="60"/>
              <w:right w:type="dxa" w:w="100"/>
            </w:tcMar>
            <w:vAlign w:val="center"/>
          </w:tcPr>
          <w:p>
            <w:r>
              <w:rPr>
                <w:b/>
                <w:bCs/>
                <w:color w:val="FFFFFF"/>
                <w:sz w:val="20"/>
                <w:szCs w:val="20"/>
              </w:rPr>
              <w:t xml:space="preserve">Page</w:t>
            </w:r>
          </w:p>
        </w:tc>
        <w:tc>
          <w:tcPr>
            <w:tcW w:type="dxa" w:w="4700"/>
            <w:shd w:fill="1F3864" w:val="clear"/>
            <w:tcMar>
              <w:top w:type="dxa" w:w="60"/>
              <w:left w:type="dxa" w:w="100"/>
              <w:bottom w:type="dxa" w:w="60"/>
              <w:right w:type="dxa" w:w="100"/>
            </w:tcMar>
            <w:vAlign w:val="center"/>
          </w:tcPr>
          <w:p>
            <w:r>
              <w:rPr>
                <w:b/>
                <w:bCs/>
                <w:color w:val="FFFFFF"/>
                <w:sz w:val="20"/>
                <w:szCs w:val="20"/>
              </w:rPr>
              <w:t xml:space="preserve">Visuals</w:t>
            </w:r>
          </w:p>
        </w:tc>
        <w:tc>
          <w:tcPr>
            <w:tcW w:type="dxa" w:w="2350"/>
            <w:shd w:fill="1F3864" w:val="clear"/>
            <w:tcMar>
              <w:top w:type="dxa" w:w="60"/>
              <w:left w:type="dxa" w:w="100"/>
              <w:bottom w:type="dxa" w:w="60"/>
              <w:right w:type="dxa" w:w="100"/>
            </w:tcMar>
            <w:vAlign w:val="center"/>
          </w:tcPr>
          <w:p>
            <w:r>
              <w:rPr>
                <w:b/>
                <w:bCs/>
                <w:color w:val="FFFFFF"/>
                <w:sz w:val="20"/>
                <w:szCs w:val="20"/>
              </w:rPr>
              <w:t xml:space="preserve">Slicers</w:t>
            </w:r>
          </w:p>
        </w:tc>
      </w:tr>
      <w:tr>
        <w:tc>
          <w:tcPr>
            <w:tcW w:type="dxa" w:w="2300"/>
            <w:shd w:fill="FFFFFF" w:val="clear"/>
            <w:tcMar>
              <w:top w:type="dxa" w:w="60"/>
              <w:left w:type="dxa" w:w="100"/>
              <w:bottom w:type="dxa" w:w="60"/>
              <w:right w:type="dxa" w:w="100"/>
            </w:tcMar>
            <w:vAlign w:val="center"/>
          </w:tcPr>
          <w:p>
            <w:r>
              <w:rPr>
                <w:b w:val="false"/>
                <w:bCs w:val="false"/>
                <w:sz w:val="20"/>
                <w:szCs w:val="20"/>
              </w:rPr>
              <w:t xml:space="preserve">1. Executive Overview</w:t>
            </w:r>
          </w:p>
        </w:tc>
        <w:tc>
          <w:tcPr>
            <w:tcW w:type="dxa" w:w="4700"/>
            <w:shd w:fill="FFFFFF" w:val="clear"/>
            <w:tcMar>
              <w:top w:type="dxa" w:w="60"/>
              <w:left w:type="dxa" w:w="100"/>
              <w:bottom w:type="dxa" w:w="60"/>
              <w:right w:type="dxa" w:w="100"/>
            </w:tcMar>
            <w:vAlign w:val="center"/>
          </w:tcPr>
          <w:p>
            <w:r>
              <w:rPr>
                <w:b w:val="false"/>
                <w:bCs w:val="false"/>
                <w:sz w:val="20"/>
                <w:szCs w:val="20"/>
              </w:rPr>
              <w:t xml:space="preserve">KPI cards (Total Bookings, Cancellation Rate, Total Revenue, Lost Revenue, Avg ADR, Avg Lead Time) • Line chart: bookings by month • Donut: City vs Resort bookings</w:t>
            </w:r>
          </w:p>
        </w:tc>
        <w:tc>
          <w:tcPr>
            <w:tcW w:type="dxa" w:w="2350"/>
            <w:shd w:fill="FFFFFF" w:val="clear"/>
            <w:tcMar>
              <w:top w:type="dxa" w:w="60"/>
              <w:left w:type="dxa" w:w="100"/>
              <w:bottom w:type="dxa" w:w="60"/>
              <w:right w:type="dxa" w:w="100"/>
            </w:tcMar>
            <w:vAlign w:val="center"/>
          </w:tcPr>
          <w:p>
            <w:r>
              <w:rPr>
                <w:b w:val="false"/>
                <w:bCs w:val="false"/>
                <w:sz w:val="20"/>
                <w:szCs w:val="20"/>
              </w:rPr>
              <w:t xml:space="preserve">Hotel Type, Year</w:t>
            </w:r>
          </w:p>
        </w:tc>
      </w:tr>
      <w:tr>
        <w:tc>
          <w:tcPr>
            <w:tcW w:type="dxa" w:w="2300"/>
            <w:shd w:fill="F2F2F2" w:val="clear"/>
            <w:tcMar>
              <w:top w:type="dxa" w:w="60"/>
              <w:left w:type="dxa" w:w="100"/>
              <w:bottom w:type="dxa" w:w="60"/>
              <w:right w:type="dxa" w:w="100"/>
            </w:tcMar>
            <w:vAlign w:val="center"/>
          </w:tcPr>
          <w:p>
            <w:r>
              <w:rPr>
                <w:b w:val="false"/>
                <w:bCs w:val="false"/>
                <w:sz w:val="20"/>
                <w:szCs w:val="20"/>
              </w:rPr>
              <w:t xml:space="preserve">2. Cancellation Analysis</w:t>
            </w:r>
          </w:p>
        </w:tc>
        <w:tc>
          <w:tcPr>
            <w:tcW w:type="dxa" w:w="4700"/>
            <w:shd w:fill="F2F2F2" w:val="clear"/>
            <w:tcMar>
              <w:top w:type="dxa" w:w="60"/>
              <w:left w:type="dxa" w:w="100"/>
              <w:bottom w:type="dxa" w:w="60"/>
              <w:right w:type="dxa" w:w="100"/>
            </w:tcMar>
            <w:vAlign w:val="center"/>
          </w:tcPr>
          <w:p>
            <w:r>
              <w:rPr>
                <w:b w:val="false"/>
                <w:bCs w:val="false"/>
                <w:sz w:val="20"/>
                <w:szCs w:val="20"/>
              </w:rPr>
              <w:t xml:space="preserve">Bar: cancellation rate by lead-time bucket • Bar: cancellation rate by deposit type • Bar: cancellation rate by market segment • Matrix: hotel type x month cancellation rate</w:t>
            </w:r>
          </w:p>
        </w:tc>
        <w:tc>
          <w:tcPr>
            <w:tcW w:type="dxa" w:w="2350"/>
            <w:shd w:fill="F2F2F2" w:val="clear"/>
            <w:tcMar>
              <w:top w:type="dxa" w:w="60"/>
              <w:left w:type="dxa" w:w="100"/>
              <w:bottom w:type="dxa" w:w="60"/>
              <w:right w:type="dxa" w:w="100"/>
            </w:tcMar>
            <w:vAlign w:val="center"/>
          </w:tcPr>
          <w:p>
            <w:r>
              <w:rPr>
                <w:b w:val="false"/>
                <w:bCs w:val="false"/>
                <w:sz w:val="20"/>
                <w:szCs w:val="20"/>
              </w:rPr>
              <w:t xml:space="preserve">Hotel Type, Deposit Type, Customer Type</w:t>
            </w:r>
          </w:p>
        </w:tc>
      </w:tr>
      <w:tr>
        <w:tc>
          <w:tcPr>
            <w:tcW w:type="dxa" w:w="2300"/>
            <w:shd w:fill="FFFFFF" w:val="clear"/>
            <w:tcMar>
              <w:top w:type="dxa" w:w="60"/>
              <w:left w:type="dxa" w:w="100"/>
              <w:bottom w:type="dxa" w:w="60"/>
              <w:right w:type="dxa" w:w="100"/>
            </w:tcMar>
            <w:vAlign w:val="center"/>
          </w:tcPr>
          <w:p>
            <w:r>
              <w:rPr>
                <w:b w:val="false"/>
                <w:bCs w:val="false"/>
                <w:sz w:val="20"/>
                <w:szCs w:val="20"/>
              </w:rPr>
              <w:t xml:space="preserve">3. Revenue Analysis</w:t>
            </w:r>
          </w:p>
        </w:tc>
        <w:tc>
          <w:tcPr>
            <w:tcW w:type="dxa" w:w="4700"/>
            <w:shd w:fill="FFFFFF" w:val="clear"/>
            <w:tcMar>
              <w:top w:type="dxa" w:w="60"/>
              <w:left w:type="dxa" w:w="100"/>
              <w:bottom w:type="dxa" w:w="60"/>
              <w:right w:type="dxa" w:w="100"/>
            </w:tcMar>
            <w:vAlign w:val="center"/>
          </w:tcPr>
          <w:p>
            <w:r>
              <w:rPr>
                <w:b w:val="false"/>
                <w:bCs w:val="false"/>
                <w:sz w:val="20"/>
                <w:szCs w:val="20"/>
              </w:rPr>
              <w:t xml:space="preserve">Line: monthly revenue trend (Total Revenue vs Potential Revenue) • Bar: revenue by room type • Bar: revenue by market segment • Card: Lost Revenue to Cancellations</w:t>
            </w:r>
          </w:p>
        </w:tc>
        <w:tc>
          <w:tcPr>
            <w:tcW w:type="dxa" w:w="2350"/>
            <w:shd w:fill="FFFFFF" w:val="clear"/>
            <w:tcMar>
              <w:top w:type="dxa" w:w="60"/>
              <w:left w:type="dxa" w:w="100"/>
              <w:bottom w:type="dxa" w:w="60"/>
              <w:right w:type="dxa" w:w="100"/>
            </w:tcMar>
            <w:vAlign w:val="center"/>
          </w:tcPr>
          <w:p>
            <w:r>
              <w:rPr>
                <w:b w:val="false"/>
                <w:bCs w:val="false"/>
                <w:sz w:val="20"/>
                <w:szCs w:val="20"/>
              </w:rPr>
              <w:t xml:space="preserve">Hotel Type, Year, Month</w:t>
            </w:r>
          </w:p>
        </w:tc>
      </w:tr>
      <w:tr>
        <w:tc>
          <w:tcPr>
            <w:tcW w:type="dxa" w:w="2300"/>
            <w:shd w:fill="F2F2F2" w:val="clear"/>
            <w:tcMar>
              <w:top w:type="dxa" w:w="60"/>
              <w:left w:type="dxa" w:w="100"/>
              <w:bottom w:type="dxa" w:w="60"/>
              <w:right w:type="dxa" w:w="100"/>
            </w:tcMar>
            <w:vAlign w:val="center"/>
          </w:tcPr>
          <w:p>
            <w:r>
              <w:rPr>
                <w:b w:val="false"/>
                <w:bCs w:val="false"/>
                <w:sz w:val="20"/>
                <w:szCs w:val="20"/>
              </w:rPr>
              <w:t xml:space="preserve">4. Customer &amp; Room-Type Analysis</w:t>
            </w:r>
          </w:p>
        </w:tc>
        <w:tc>
          <w:tcPr>
            <w:tcW w:type="dxa" w:w="4700"/>
            <w:shd w:fill="F2F2F2" w:val="clear"/>
            <w:tcMar>
              <w:top w:type="dxa" w:w="60"/>
              <w:left w:type="dxa" w:w="100"/>
              <w:bottom w:type="dxa" w:w="60"/>
              <w:right w:type="dxa" w:w="100"/>
            </w:tcMar>
            <w:vAlign w:val="center"/>
          </w:tcPr>
          <w:p>
            <w:r>
              <w:rPr>
                <w:b w:val="false"/>
                <w:bCs w:val="false"/>
                <w:sz w:val="20"/>
                <w:szCs w:val="20"/>
              </w:rPr>
              <w:t xml:space="preserve">Bar: bookings by customer type • Map/bar: top 10 countries by bookings • Bar: ADR by room type • Table: room type popularity vs revenue</w:t>
            </w:r>
          </w:p>
        </w:tc>
        <w:tc>
          <w:tcPr>
            <w:tcW w:type="dxa" w:w="2350"/>
            <w:shd w:fill="F2F2F2" w:val="clear"/>
            <w:tcMar>
              <w:top w:type="dxa" w:w="60"/>
              <w:left w:type="dxa" w:w="100"/>
              <w:bottom w:type="dxa" w:w="60"/>
              <w:right w:type="dxa" w:w="100"/>
            </w:tcMar>
            <w:vAlign w:val="center"/>
          </w:tcPr>
          <w:p>
            <w:r>
              <w:rPr>
                <w:b w:val="false"/>
                <w:bCs w:val="false"/>
                <w:sz w:val="20"/>
                <w:szCs w:val="20"/>
              </w:rPr>
              <w:t xml:space="preserve">Customer Type, Market Segment, Country</w:t>
            </w:r>
          </w:p>
        </w:tc>
      </w:tr>
    </w:tbl>
    <w:p>
      <w:pPr>
        <w:pStyle w:val="Heading2"/>
        <w:spacing w:after="120" w:before="240"/>
      </w:pPr>
      <w:r>
        <w:t xml:space="preserve">5.4 Interactivity &amp; Polish</w:t>
      </w:r>
    </w:p>
    <w:p>
      <w:pPr>
        <w:pStyle w:val="ListParagraph"/>
        <w:numPr>
          <w:ilvl w:val="0"/>
          <w:numId w:val="2"/>
        </w:numPr>
        <w:spacing w:after="90"/>
      </w:pPr>
      <w:r>
        <w:t xml:space="preserve">Add every slicer listed above (Insert → Slicer) and format them with a single-select or dropdown style for a clean look.</w:t>
      </w:r>
    </w:p>
    <w:p>
      <w:pPr>
        <w:pStyle w:val="ListParagraph"/>
        <w:numPr>
          <w:ilvl w:val="0"/>
          <w:numId w:val="2"/>
        </w:numPr>
        <w:spacing w:after="90"/>
      </w:pPr>
      <w:r>
        <w:t xml:space="preserve">Format &gt; Format your report page: apply a consistent theme — navy (#1F3864) primary, gold (#C99A2E) accent, matching the Excel workbook. A ready-made theme file is provided (see 5.5) so you don't have to set every colour by hand.</w:t>
      </w:r>
    </w:p>
    <w:p>
      <w:pPr>
        <w:pStyle w:val="ListParagraph"/>
        <w:numPr>
          <w:ilvl w:val="0"/>
          <w:numId w:val="2"/>
        </w:numPr>
        <w:spacing w:after="90"/>
      </w:pPr>
      <w:r>
        <w:t xml:space="preserve">Turn on Edit Interactions (Format tab → Edit Interactions) to control which visuals cross-filter which — typically leave all visuals cross-filtering on a page.</w:t>
      </w:r>
    </w:p>
    <w:p>
      <w:pPr>
        <w:pStyle w:val="ListParagraph"/>
        <w:numPr>
          <w:ilvl w:val="0"/>
          <w:numId w:val="2"/>
        </w:numPr>
        <w:spacing w:after="90"/>
      </w:pPr>
      <w:r>
        <w:t xml:space="preserve">Add tooltips: right-click a visual → Format → Tooltip → enable a report-page tooltip showing extra detail (e.g., ADR and nights) on hover over the revenue chart.</w:t>
      </w:r>
    </w:p>
    <w:p>
      <w:pPr>
        <w:pStyle w:val="ListParagraph"/>
        <w:numPr>
          <w:ilvl w:val="0"/>
          <w:numId w:val="2"/>
        </w:numPr>
        <w:spacing w:after="90"/>
      </w:pPr>
      <w:r>
        <w:t xml:space="preserve">Add a bookmark (View → Bookmarks) that toggles between "All Bookings" and "Cancelled Only" filtered views on the Cancellation Analysis page, controlled by two buttons.</w:t>
      </w:r>
    </w:p>
    <w:p>
      <w:pPr>
        <w:pStyle w:val="ListParagraph"/>
        <w:numPr>
          <w:ilvl w:val="0"/>
          <w:numId w:val="2"/>
        </w:numPr>
        <w:spacing w:after="90"/>
      </w:pPr>
      <w:r>
        <w:t xml:space="preserve">Publish (Home → Publish) to Power BI Service if you want to share a live link, or simply save the .pbix file for submission.</w:t>
      </w:r>
    </w:p>
    <w:p>
      <w:pPr>
        <w:pStyle w:val="Heading2"/>
        <w:spacing w:after="120" w:before="240"/>
      </w:pPr>
      <w:r>
        <w:t xml:space="preserve">5.5 Custom Power BI Theme File (ready to import)</w:t>
      </w:r>
    </w:p>
    <w:p>
      <w:pPr>
        <w:spacing w:after="160"/>
        <w:jc w:val="left"/>
      </w:pPr>
      <w:r>
        <w:t xml:space="preserve">A matching theme file — "HotelBookingAnalysis_PowerBI_Theme.json" — is included with this project. It defines the same navy (#1F3864) and gold (#C99A2E) palette used throughout the Excel workbook, plus styling for KPI cards, slicers, tables, and charts, so the Power BI report and the Excel workbook look like one consistent piece of work.</w:t>
      </w:r>
    </w:p>
    <w:p>
      <w:pPr>
        <w:spacing w:after="160"/>
        <w:jc w:val="left"/>
      </w:pPr>
      <w:r>
        <w:rPr>
          <w:b/>
          <w:bCs/>
        </w:rPr>
        <w:t xml:space="preserve">To apply it:</w:t>
      </w:r>
    </w:p>
    <w:p>
      <w:pPr>
        <w:pStyle w:val="ListParagraph"/>
        <w:numPr>
          <w:ilvl w:val="0"/>
          <w:numId w:val="2"/>
        </w:numPr>
        <w:spacing w:after="90"/>
      </w:pPr>
      <w:r>
        <w:t xml:space="preserve">Open your report in Power BI Desktop.</w:t>
      </w:r>
    </w:p>
    <w:p>
      <w:pPr>
        <w:pStyle w:val="ListParagraph"/>
        <w:numPr>
          <w:ilvl w:val="0"/>
          <w:numId w:val="2"/>
        </w:numPr>
        <w:spacing w:after="90"/>
      </w:pPr>
      <w:r>
        <w:t xml:space="preserve">Go to the View tab → Themes → Browse for themes...</w:t>
      </w:r>
    </w:p>
    <w:p>
      <w:pPr>
        <w:pStyle w:val="ListParagraph"/>
        <w:numPr>
          <w:ilvl w:val="0"/>
          <w:numId w:val="2"/>
        </w:numPr>
        <w:spacing w:after="90"/>
      </w:pPr>
      <w:r>
        <w:t xml:space="preserve">Select "HotelBookingAnalysis_PowerBI_Theme.json" and click Open.</w:t>
      </w:r>
    </w:p>
    <w:p>
      <w:pPr>
        <w:pStyle w:val="ListParagraph"/>
        <w:numPr>
          <w:ilvl w:val="0"/>
          <w:numId w:val="2"/>
        </w:numPr>
        <w:spacing w:after="90"/>
      </w:pPr>
      <w:r>
        <w:t xml:space="preserve">Every visual on every page instantly picks up the navy/gold colour scheme, card styling, and slicer styling defined in the theme.</w:t>
      </w:r>
    </w:p>
    <w:p>
      <w:pPr>
        <w:pStyle w:val="Heading2"/>
        <w:spacing w:after="120" w:before="240"/>
      </w:pPr>
      <w:r>
        <w:t xml:space="preserve">5.6 Why this project provides a build guide + theme file rather than a ready-made .pbix</w:t>
      </w:r>
    </w:p>
    <w:p>
      <w:pPr>
        <w:spacing w:after="160"/>
        <w:jc w:val="left"/>
      </w:pPr>
      <w:r>
        <w:t xml:space="preserve">A .pbix (or .pbip) file is not a plain data file — it is a package that Power BI Desktop itself writes, containing Desktop-version-specific internal references (exact theme/version metadata, report engine settings, and internally generated identifiers) that only Desktop can generate correctly. This is true even for specialised developer tooling built specifically to script Power BI files: published guidance for programmatically authoring Power BI project files explicitly recommends never assembling the project shell from scratch, and instead always starting from a project that Power BI Desktop itself has saved at least once, then layering pages, visuals, and measures on top of that Desktop-generated foundation.</w:t>
      </w:r>
    </w:p>
    <w:p>
      <w:pPr>
        <w:spacing w:after="160"/>
        <w:jc w:val="left"/>
      </w:pPr>
      <w:r>
        <w:t xml:space="preserve">Handing over a hand-built .pbix that Power BI Desktop then refused to open would waste far more of your time than following the guide above — so instead this project gives you everything that can be reliably produced outside Desktop: the cleaned data file ready to import, every DAX measure pre-written and explained, the exact page/visual/slicer layout, and a one-click theme file for the visual styling. Following Section 5.1-5.5 in Power BI Desktop reproduces the full dashboard in well under two hours.</w:t>
      </w:r>
    </w:p>
    <w:p>
      <w:r>
        <w:br w:type="page"/>
      </w:r>
    </w:p>
    <w:p>
      <w:pPr>
        <w:pStyle w:val="Heading1"/>
        <w:spacing w:after="160" w:before="320"/>
      </w:pPr>
      <w:r>
        <w:t xml:space="preserve">6. Key Findings &amp; Business Insights</w:t>
      </w:r>
    </w:p>
    <w:p>
      <w:pPr>
        <w:spacing w:after="160"/>
        <w:jc w:val="left"/>
      </w:pPr>
      <w:r>
        <w:rPr>
          <w:i/>
          <w:iCs/>
          <w:color w:val="595959"/>
        </w:rPr>
        <w:t xml:space="preserve">All figures below are computed from the FULL cleaned dataset (87,230 bookings, post deduplication) for maximum accuracy.</w:t>
      </w:r>
    </w:p>
    <w:p>
      <w:pPr>
        <w:pStyle w:val="Heading2"/>
        <w:spacing w:after="120" w:before="240"/>
      </w:pPr>
      <w:r>
        <w:t xml:space="preserve">6.1 Headline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700"/>
            <w:shd w:fill="1F3864" w:val="clear"/>
            <w:tcMar>
              <w:top w:type="dxa" w:w="60"/>
              <w:left w:type="dxa" w:w="100"/>
              <w:bottom w:type="dxa" w:w="60"/>
              <w:right w:type="dxa" w:w="100"/>
            </w:tcMar>
            <w:vAlign w:val="center"/>
          </w:tcPr>
          <w:p>
            <w:r>
              <w:rPr>
                <w:b/>
                <w:bCs/>
                <w:color w:val="FFFFFF"/>
                <w:sz w:val="20"/>
                <w:szCs w:val="20"/>
              </w:rPr>
              <w:t xml:space="preserve">Metric</w:t>
            </w:r>
          </w:p>
        </w:tc>
        <w:tc>
          <w:tcPr>
            <w:tcW w:type="dxa" w:w="4650"/>
            <w:shd w:fill="1F3864" w:val="clear"/>
            <w:tcMar>
              <w:top w:type="dxa" w:w="60"/>
              <w:left w:type="dxa" w:w="100"/>
              <w:bottom w:type="dxa" w:w="60"/>
              <w:right w:type="dxa" w:w="100"/>
            </w:tcMar>
            <w:vAlign w:val="center"/>
          </w:tcPr>
          <w:p>
            <w:r>
              <w:rPr>
                <w:b/>
                <w:bCs/>
                <w:color w:val="FFFFFF"/>
                <w:sz w:val="20"/>
                <w:szCs w:val="20"/>
              </w:rPr>
              <w:t xml:space="preserve">Value</w:t>
            </w:r>
          </w:p>
        </w:tc>
      </w:tr>
      <w:tr>
        <w:tc>
          <w:tcPr>
            <w:tcW w:type="dxa" w:w="4700"/>
            <w:shd w:fill="FFFFFF" w:val="clear"/>
            <w:tcMar>
              <w:top w:type="dxa" w:w="60"/>
              <w:left w:type="dxa" w:w="100"/>
              <w:bottom w:type="dxa" w:w="60"/>
              <w:right w:type="dxa" w:w="100"/>
            </w:tcMar>
            <w:vAlign w:val="center"/>
          </w:tcPr>
          <w:p>
            <w:r>
              <w:rPr>
                <w:b w:val="false"/>
                <w:bCs w:val="false"/>
                <w:sz w:val="20"/>
                <w:szCs w:val="20"/>
              </w:rPr>
              <w:t xml:space="preserve">Total bookings (cleaned)</w:t>
            </w:r>
          </w:p>
        </w:tc>
        <w:tc>
          <w:tcPr>
            <w:tcW w:type="dxa" w:w="4650"/>
            <w:shd w:fill="FFFFFF" w:val="clear"/>
            <w:tcMar>
              <w:top w:type="dxa" w:w="60"/>
              <w:left w:type="dxa" w:w="100"/>
              <w:bottom w:type="dxa" w:w="60"/>
              <w:right w:type="dxa" w:w="100"/>
            </w:tcMar>
            <w:vAlign w:val="center"/>
          </w:tcPr>
          <w:p>
            <w:r>
              <w:rPr>
                <w:b w:val="false"/>
                <w:bCs w:val="false"/>
                <w:sz w:val="20"/>
                <w:szCs w:val="20"/>
              </w:rPr>
              <w:t xml:space="preserve">87,230</w:t>
            </w:r>
          </w:p>
        </w:tc>
      </w:tr>
      <w:tr>
        <w:tc>
          <w:tcPr>
            <w:tcW w:type="dxa" w:w="4700"/>
            <w:shd w:fill="F2F2F2" w:val="clear"/>
            <w:tcMar>
              <w:top w:type="dxa" w:w="60"/>
              <w:left w:type="dxa" w:w="100"/>
              <w:bottom w:type="dxa" w:w="60"/>
              <w:right w:type="dxa" w:w="100"/>
            </w:tcMar>
            <w:vAlign w:val="center"/>
          </w:tcPr>
          <w:p>
            <w:r>
              <w:rPr>
                <w:b w:val="false"/>
                <w:bCs w:val="false"/>
                <w:sz w:val="20"/>
                <w:szCs w:val="20"/>
              </w:rPr>
              <w:t xml:space="preserve">Overall cancellation rate</w:t>
            </w:r>
          </w:p>
        </w:tc>
        <w:tc>
          <w:tcPr>
            <w:tcW w:type="dxa" w:w="4650"/>
            <w:shd w:fill="F2F2F2" w:val="clear"/>
            <w:tcMar>
              <w:top w:type="dxa" w:w="60"/>
              <w:left w:type="dxa" w:w="100"/>
              <w:bottom w:type="dxa" w:w="60"/>
              <w:right w:type="dxa" w:w="100"/>
            </w:tcMar>
            <w:vAlign w:val="center"/>
          </w:tcPr>
          <w:p>
            <w:r>
              <w:rPr>
                <w:b w:val="false"/>
                <w:bCs w:val="false"/>
                <w:sz w:val="20"/>
                <w:szCs w:val="20"/>
              </w:rPr>
              <w:t xml:space="preserve">27.5%</w:t>
            </w:r>
          </w:p>
        </w:tc>
      </w:tr>
      <w:tr>
        <w:tc>
          <w:tcPr>
            <w:tcW w:type="dxa" w:w="4700"/>
            <w:shd w:fill="FFFFFF" w:val="clear"/>
            <w:tcMar>
              <w:top w:type="dxa" w:w="60"/>
              <w:left w:type="dxa" w:w="100"/>
              <w:bottom w:type="dxa" w:w="60"/>
              <w:right w:type="dxa" w:w="100"/>
            </w:tcMar>
            <w:vAlign w:val="center"/>
          </w:tcPr>
          <w:p>
            <w:r>
              <w:rPr>
                <w:b w:val="false"/>
                <w:bCs w:val="false"/>
                <w:sz w:val="20"/>
                <w:szCs w:val="20"/>
              </w:rPr>
              <w:t xml:space="preserve">Total realised revenue (completed bookings)</w:t>
            </w:r>
          </w:p>
        </w:tc>
        <w:tc>
          <w:tcPr>
            <w:tcW w:type="dxa" w:w="4650"/>
            <w:shd w:fill="FFFFFF" w:val="clear"/>
            <w:tcMar>
              <w:top w:type="dxa" w:w="60"/>
              <w:left w:type="dxa" w:w="100"/>
              <w:bottom w:type="dxa" w:w="60"/>
              <w:right w:type="dxa" w:w="100"/>
            </w:tcMar>
            <w:vAlign w:val="center"/>
          </w:tcPr>
          <w:p>
            <w:r>
              <w:rPr>
                <w:b w:val="false"/>
                <w:bCs w:val="false"/>
                <w:sz w:val="20"/>
                <w:szCs w:val="20"/>
              </w:rPr>
              <w:t xml:space="preserve">$22,967,548</w:t>
            </w:r>
          </w:p>
        </w:tc>
      </w:tr>
      <w:tr>
        <w:tc>
          <w:tcPr>
            <w:tcW w:type="dxa" w:w="4700"/>
            <w:shd w:fill="F2F2F2" w:val="clear"/>
            <w:tcMar>
              <w:top w:type="dxa" w:w="60"/>
              <w:left w:type="dxa" w:w="100"/>
              <w:bottom w:type="dxa" w:w="60"/>
              <w:right w:type="dxa" w:w="100"/>
            </w:tcMar>
            <w:vAlign w:val="center"/>
          </w:tcPr>
          <w:p>
            <w:r>
              <w:rPr>
                <w:b w:val="false"/>
                <w:bCs w:val="false"/>
                <w:sz w:val="20"/>
                <w:szCs w:val="20"/>
              </w:rPr>
              <w:t xml:space="preserve">Revenue lost to cancellations</w:t>
            </w:r>
          </w:p>
        </w:tc>
        <w:tc>
          <w:tcPr>
            <w:tcW w:type="dxa" w:w="4650"/>
            <w:shd w:fill="F2F2F2" w:val="clear"/>
            <w:tcMar>
              <w:top w:type="dxa" w:w="60"/>
              <w:left w:type="dxa" w:w="100"/>
              <w:bottom w:type="dxa" w:w="60"/>
              <w:right w:type="dxa" w:w="100"/>
            </w:tcMar>
            <w:vAlign w:val="center"/>
          </w:tcPr>
          <w:p>
            <w:r>
              <w:rPr>
                <w:b w:val="false"/>
                <w:bCs w:val="false"/>
                <w:sz w:val="20"/>
                <w:szCs w:val="20"/>
              </w:rPr>
              <w:t xml:space="preserve">$11,484,043 (33.3% of potential revenue)</w:t>
            </w:r>
          </w:p>
        </w:tc>
      </w:tr>
      <w:tr>
        <w:tc>
          <w:tcPr>
            <w:tcW w:type="dxa" w:w="4700"/>
            <w:shd w:fill="FFFFFF" w:val="clear"/>
            <w:tcMar>
              <w:top w:type="dxa" w:w="60"/>
              <w:left w:type="dxa" w:w="100"/>
              <w:bottom w:type="dxa" w:w="60"/>
              <w:right w:type="dxa" w:w="100"/>
            </w:tcMar>
            <w:vAlign w:val="center"/>
          </w:tcPr>
          <w:p>
            <w:r>
              <w:rPr>
                <w:b w:val="false"/>
                <w:bCs w:val="false"/>
                <w:sz w:val="20"/>
                <w:szCs w:val="20"/>
              </w:rPr>
              <w:t xml:space="preserve">Average Daily Rate (ADR)</w:t>
            </w:r>
          </w:p>
        </w:tc>
        <w:tc>
          <w:tcPr>
            <w:tcW w:type="dxa" w:w="4650"/>
            <w:shd w:fill="FFFFFF" w:val="clear"/>
            <w:tcMar>
              <w:top w:type="dxa" w:w="60"/>
              <w:left w:type="dxa" w:w="100"/>
              <w:bottom w:type="dxa" w:w="60"/>
              <w:right w:type="dxa" w:w="100"/>
            </w:tcMar>
            <w:vAlign w:val="center"/>
          </w:tcPr>
          <w:p>
            <w:r>
              <w:rPr>
                <w:b w:val="false"/>
                <w:bCs w:val="false"/>
                <w:sz w:val="20"/>
                <w:szCs w:val="20"/>
              </w:rPr>
              <w:t xml:space="preserve">$106.52</w:t>
            </w:r>
          </w:p>
        </w:tc>
      </w:tr>
      <w:tr>
        <w:tc>
          <w:tcPr>
            <w:tcW w:type="dxa" w:w="4700"/>
            <w:shd w:fill="F2F2F2" w:val="clear"/>
            <w:tcMar>
              <w:top w:type="dxa" w:w="60"/>
              <w:left w:type="dxa" w:w="100"/>
              <w:bottom w:type="dxa" w:w="60"/>
              <w:right w:type="dxa" w:w="100"/>
            </w:tcMar>
            <w:vAlign w:val="center"/>
          </w:tcPr>
          <w:p>
            <w:r>
              <w:rPr>
                <w:b w:val="false"/>
                <w:bCs w:val="false"/>
                <w:sz w:val="20"/>
                <w:szCs w:val="20"/>
              </w:rPr>
              <w:t xml:space="preserve">Average lead time</w:t>
            </w:r>
          </w:p>
        </w:tc>
        <w:tc>
          <w:tcPr>
            <w:tcW w:type="dxa" w:w="4650"/>
            <w:shd w:fill="F2F2F2" w:val="clear"/>
            <w:tcMar>
              <w:top w:type="dxa" w:w="60"/>
              <w:left w:type="dxa" w:w="100"/>
              <w:bottom w:type="dxa" w:w="60"/>
              <w:right w:type="dxa" w:w="100"/>
            </w:tcMar>
            <w:vAlign w:val="center"/>
          </w:tcPr>
          <w:p>
            <w:r>
              <w:rPr>
                <w:b w:val="false"/>
                <w:bCs w:val="false"/>
                <w:sz w:val="20"/>
                <w:szCs w:val="20"/>
              </w:rPr>
              <w:t xml:space="preserve">80.0 days</w:t>
            </w:r>
          </w:p>
        </w:tc>
      </w:tr>
      <w:tr>
        <w:tc>
          <w:tcPr>
            <w:tcW w:type="dxa" w:w="4700"/>
            <w:shd w:fill="FFFFFF" w:val="clear"/>
            <w:tcMar>
              <w:top w:type="dxa" w:w="60"/>
              <w:left w:type="dxa" w:w="100"/>
              <w:bottom w:type="dxa" w:w="60"/>
              <w:right w:type="dxa" w:w="100"/>
            </w:tcMar>
            <w:vAlign w:val="center"/>
          </w:tcPr>
          <w:p>
            <w:r>
              <w:rPr>
                <w:b w:val="false"/>
                <w:bCs w:val="false"/>
                <w:sz w:val="20"/>
                <w:szCs w:val="20"/>
              </w:rPr>
              <w:t xml:space="preserve">Average length of stay</w:t>
            </w:r>
          </w:p>
        </w:tc>
        <w:tc>
          <w:tcPr>
            <w:tcW w:type="dxa" w:w="4650"/>
            <w:shd w:fill="FFFFFF" w:val="clear"/>
            <w:tcMar>
              <w:top w:type="dxa" w:w="60"/>
              <w:left w:type="dxa" w:w="100"/>
              <w:bottom w:type="dxa" w:w="60"/>
              <w:right w:type="dxa" w:w="100"/>
            </w:tcMar>
            <w:vAlign w:val="center"/>
          </w:tcPr>
          <w:p>
            <w:r>
              <w:rPr>
                <w:b w:val="false"/>
                <w:bCs w:val="false"/>
                <w:sz w:val="20"/>
                <w:szCs w:val="20"/>
              </w:rPr>
              <w:t xml:space="preserve">3.63 nights</w:t>
            </w:r>
          </w:p>
        </w:tc>
      </w:tr>
    </w:tbl>
    <w:p>
      <w:pPr>
        <w:pStyle w:val="Heading2"/>
        <w:spacing w:after="120" w:before="240"/>
      </w:pPr>
      <w:r>
        <w:t xml:space="preserve">6.2 Which hotel type performs better?</w:t>
      </w:r>
    </w:p>
    <w:p>
      <w:pPr>
        <w:spacing w:after="160"/>
        <w:jc w:val="left"/>
      </w:pPr>
      <w:r>
        <w:t xml:space="preserve">City Hotel takes more bookings (53,274 vs. 33,956) and earns more total revenue ($18.77M vs. $15.69M), and its ADR is higher ($111.27 vs. $99.06). However, it also cancels far more often — 30% vs. 23% for the Resort Hotel — and guests stay for shorter trips (3.14 vs. 4.39 nights on average). The Resort Hotel is the more reliable, longer-stay, lower-risk business even though it is the smaller of the two by volume.</w:t>
      </w:r>
    </w:p>
    <w:p>
      <w:pPr>
        <w:pStyle w:val="Heading2"/>
        <w:spacing w:after="120" w:before="240"/>
      </w:pPr>
      <w:r>
        <w:t xml:space="preserve">6.3 Cancellation rate &amp; major patterns</w:t>
      </w:r>
    </w:p>
    <w:p>
      <w:pPr>
        <w:pStyle w:val="ListParagraph"/>
        <w:numPr>
          <w:ilvl w:val="0"/>
          <w:numId w:val="1"/>
        </w:numPr>
        <w:spacing w:after="90"/>
      </w:pPr>
      <w:r>
        <w:t xml:space="preserve">Lead time is the single strongest cancellation driver: 0-7 day bookings cancel only 8.4% of the time, rising steadily to 25.4% (8-30 days), 32.0% (31-90 days), and 36.9% for bookings made 90+ days in advance.</w:t>
      </w:r>
    </w:p>
    <w:p>
      <w:pPr>
        <w:pStyle w:val="ListParagraph"/>
        <w:numPr>
          <w:ilvl w:val="0"/>
          <w:numId w:val="1"/>
        </w:numPr>
        <w:spacing w:after="90"/>
      </w:pPr>
      <w:r>
        <w:t xml:space="preserve">Deposit type is dramatic: Non-Refundable bookings cancel 94.7% of the time (vs. 26.7% for No-Deposit bookings) — this is a known data pattern where non-refundable deposits in this market were disproportionately used for speculative or fraudulent bookings, not a sign that non-refundable policies cause cancellations.</w:t>
      </w:r>
    </w:p>
    <w:p>
      <w:pPr>
        <w:pStyle w:val="ListParagraph"/>
        <w:numPr>
          <w:ilvl w:val="0"/>
          <w:numId w:val="1"/>
        </w:numPr>
        <w:spacing w:after="90"/>
      </w:pPr>
      <w:r>
        <w:t xml:space="preserve">Online Travel Agents (Online TA) generate 59% of all bookings but have the highest cancellation rate of any channel at 35% — nearly 3x the rate of Direct or Corporate bookings (both 12-15%).</w:t>
      </w:r>
    </w:p>
    <w:p>
      <w:pPr>
        <w:pStyle w:val="ListParagraph"/>
        <w:numPr>
          <w:ilvl w:val="0"/>
          <w:numId w:val="1"/>
        </w:numPr>
        <w:spacing w:after="90"/>
      </w:pPr>
      <w:r>
        <w:t xml:space="preserve">Repeat guests cancel far less often (7.7%) than first-time guests (28.3%) — loyalty is a strong predictor of follow-through.</w:t>
      </w:r>
    </w:p>
    <w:p>
      <w:pPr>
        <w:pStyle w:val="ListParagraph"/>
        <w:numPr>
          <w:ilvl w:val="0"/>
          <w:numId w:val="1"/>
        </w:numPr>
        <w:spacing w:after="90"/>
      </w:pPr>
      <w:r>
        <w:t xml:space="preserve">Guests who make more special requests cancel less: 33.3% cancellation with 0 requests, falling to 5.6% with 5 requests — engagement signals commitment.</w:t>
      </w:r>
    </w:p>
    <w:p>
      <w:pPr>
        <w:pStyle w:val="Heading2"/>
        <w:spacing w:after="120" w:before="240"/>
      </w:pPr>
      <w:r>
        <w:t xml:space="preserve">6.4 Customer &amp; market segment</w:t>
      </w:r>
    </w:p>
    <w:p>
      <w:pPr>
        <w:spacing w:after="160"/>
        <w:jc w:val="left"/>
      </w:pPr>
      <w:r>
        <w:t xml:space="preserve">Online TA dominates volume (59% of bookings, $22.3M revenue) but is also the riskiest segment. Offline TA/TO and Direct bookings are smaller in volume (13,855 and 11,780 bookings) but far more reliable, cancelling only 15% of the time. Corporate and Complementary segments are the most reliable of all (12% cancellation) but contribute comparatively little revenue. Transient customers (the largest customer-type group, 71,862 bookings) cancel at 30.1% — well above Contract (16.3%), Transient-Party (15.2%) and Group (9.8%) customers.</w:t>
      </w:r>
    </w:p>
    <w:p>
      <w:pPr>
        <w:pStyle w:val="Heading2"/>
        <w:spacing w:after="120" w:before="240"/>
      </w:pPr>
      <w:r>
        <w:t xml:space="preserve">6.5 Most popular &amp; most profitable room types</w:t>
      </w:r>
    </w:p>
    <w:p>
      <w:pPr>
        <w:spacing w:after="160"/>
        <w:jc w:val="left"/>
      </w:pPr>
      <w:r>
        <w:t xml:space="preserve">Room Type A is by far the most booked (56,436 bookings, 65% of all stays) and generates the most total revenue ($17.4M), but at the lowest average rate ($92.47). Room Type H, by contrast, is booked rarely (596 bookings) but commands the highest ADR ($188.76), followed by Type G ($176.90) and Type F ($168.45) — these premium room types are under-sold relative to their earning potential.</w:t>
      </w:r>
    </w:p>
    <w:p>
      <w:pPr>
        <w:pStyle w:val="Heading2"/>
        <w:spacing w:after="120" w:before="240"/>
      </w:pPr>
      <w:r>
        <w:t xml:space="preserve">6.6 Seasonal booking patterns</w:t>
      </w:r>
    </w:p>
    <w:p>
      <w:pPr>
        <w:spacing w:after="160"/>
        <w:jc w:val="left"/>
      </w:pPr>
      <w:r>
        <w:t xml:space="preserve">Bookings peak in July and August (10,043 and 11,242 bookings respectively) — the Northern-hemisphere summer holiday season — and are lowest in January (4,685) and November (4,973). Cancellation rate also peaks in the same summer window (31.8% in July, 32.2% in August) — the busiest months are also the leakiest, meaning overbooking/oversell strategies used during peak season may be contributing to lost inventory rather than protecting it.</w:t>
      </w:r>
    </w:p>
    <w:p>
      <w:pPr>
        <w:pStyle w:val="Heading2"/>
        <w:spacing w:after="120" w:before="240"/>
      </w:pPr>
      <w:r>
        <w:t xml:space="preserve">6.7 Lead time vs. cancellations — the core relationship</w:t>
      </w:r>
    </w:p>
    <w:p>
      <w:pPr>
        <w:spacing w:after="160"/>
        <w:jc w:val="left"/>
      </w:pPr>
      <w:r>
        <w:t xml:space="preserve">There is a clear, monotonic, positive relationship between how far in advance a booking is made and the likelihood it will be cancelled (correlation coefficient ≈ 0.19, and the bucketed cancellation rates in 6.3 show a &gt;4x increase from the shortest to longest lead-time bucket). Guests who book far ahead have more time and more opportunity to change plans, compare alternatives, or make speculative multi-hotel bookings.</w:t>
      </w:r>
    </w:p>
    <w:p>
      <w:pPr>
        <w:pStyle w:val="Heading2"/>
        <w:spacing w:after="120" w:before="240"/>
      </w:pPr>
      <w:r>
        <w:t xml:space="preserve">6.8 Other notable patterns</w:t>
      </w:r>
    </w:p>
    <w:p>
      <w:pPr>
        <w:pStyle w:val="ListParagraph"/>
        <w:numPr>
          <w:ilvl w:val="0"/>
          <w:numId w:val="1"/>
        </w:numPr>
        <w:spacing w:after="90"/>
      </w:pPr>
      <w:r>
        <w:t xml:space="preserve">Guests who cancel have made more prior cancellations on average (0.061 vs. 0.019 for guests who complete their stay) — cancellation history is a usable early-warning signal.</w:t>
      </w:r>
    </w:p>
    <w:p>
      <w:pPr>
        <w:pStyle w:val="ListParagraph"/>
        <w:numPr>
          <w:ilvl w:val="0"/>
          <w:numId w:val="1"/>
        </w:numPr>
        <w:spacing w:after="90"/>
      </w:pPr>
      <w:r>
        <w:t xml:space="preserve">Bookings with more mid-stream changes (booking_changes) are less likely to be cancelled (0.31 changes on average for completed vs. 0.16 for cancelled) — guests who actively manage their reservation are more committed to it, not less.</w:t>
      </w:r>
    </w:p>
    <w:p>
      <w:pPr>
        <w:pStyle w:val="ListParagraph"/>
        <w:numPr>
          <w:ilvl w:val="0"/>
          <w:numId w:val="1"/>
        </w:numPr>
        <w:spacing w:after="90"/>
      </w:pPr>
      <w:r>
        <w:t xml:space="preserve">The dataset spans 178 countries of guest origin; Portugal (PRT), the United Kingdom (GBR) and France (FRA) are the top three by volume, together accounting for roughly half of all bookings.</w:t>
      </w:r>
    </w:p>
    <w:p>
      <w:r>
        <w:br w:type="page"/>
      </w:r>
    </w:p>
    <w:p>
      <w:pPr>
        <w:pStyle w:val="Heading1"/>
        <w:spacing w:after="160" w:before="320"/>
      </w:pPr>
      <w:r>
        <w:t xml:space="preserve">7. Business Recommendations</w:t>
      </w:r>
    </w:p>
    <w:p>
      <w:pPr>
        <w:spacing w:after="160"/>
        <w:jc w:val="left"/>
      </w:pPr>
      <w:r>
        <w:t xml:space="preserve">The following recommendations are ranked by the size of the opportunity they address and are directly traceable to a finding in Section 6.</w:t>
      </w:r>
    </w:p>
    <w:p>
      <w:pPr>
        <w:spacing w:after="80" w:before="200"/>
      </w:pPr>
      <w:r>
        <w:rPr>
          <w:b/>
          <w:bCs/>
          <w:color w:val="1F3864"/>
          <w:sz w:val="22"/>
          <w:szCs w:val="22"/>
        </w:rPr>
        <w:t xml:space="preserve">1. Tighten policy on long lead-time, no-deposit bookings</w:t>
      </w:r>
    </w:p>
    <w:p>
      <w:pPr>
        <w:spacing w:after="160"/>
        <w:jc w:val="left"/>
      </w:pPr>
      <w:r>
        <w:t xml:space="preserve">Bookings made 90+ days out cancel at 36.9% vs. 8.4% for last-week bookings. Introduce a small, refundable deposit or a free-cancellation window that shortens as the stay approaches (e.g., full refund up to 30 days out, partial refund 7-30 days, non-refundable inside 7 days) specifically for bookings with lead time &gt; 90 days.</w:t>
      </w:r>
    </w:p>
    <w:p>
      <w:pPr>
        <w:spacing w:after="160"/>
      </w:pPr>
      <w:r>
        <w:rPr>
          <w:b/>
          <w:bCs/>
          <w:i/>
          <w:iCs/>
          <w:sz w:val="20"/>
          <w:szCs w:val="20"/>
        </w:rPr>
        <w:t xml:space="preserve">Expected impact: </w:t>
      </w:r>
      <w:r>
        <w:rPr>
          <w:i/>
          <w:iCs/>
          <w:color w:val="595959"/>
          <w:sz w:val="20"/>
          <w:szCs w:val="20"/>
        </w:rPr>
        <w:t xml:space="preserve">Directly reduces the largest cancellation-rate segment; could recover a meaningful share of the $11.48M currently lost to cancellations.</w:t>
      </w:r>
    </w:p>
    <w:p>
      <w:pPr>
        <w:spacing w:after="80" w:before="200"/>
      </w:pPr>
      <w:r>
        <w:rPr>
          <w:b/>
          <w:bCs/>
          <w:color w:val="1F3864"/>
          <w:sz w:val="22"/>
          <w:szCs w:val="22"/>
        </w:rPr>
        <w:t xml:space="preserve">2. Renegotiate or diversify Online TA channel mix</w:t>
      </w:r>
    </w:p>
    <w:p>
      <w:pPr>
        <w:spacing w:after="160"/>
        <w:jc w:val="left"/>
      </w:pPr>
      <w:r>
        <w:t xml:space="preserve">Online TA supplies 59% of volume but cancels at 35% — the highest of any channel — while Direct and Offline TA/TO bookings cancel at only 15%. Invest in direct-booking incentives (loyalty pricing, a simple booking-fee waiver for direct bookings) to shift volume away from the riskiest channel.</w:t>
      </w:r>
    </w:p>
    <w:p>
      <w:pPr>
        <w:spacing w:after="160"/>
      </w:pPr>
      <w:r>
        <w:rPr>
          <w:b/>
          <w:bCs/>
          <w:i/>
          <w:iCs/>
          <w:sz w:val="20"/>
          <w:szCs w:val="20"/>
        </w:rPr>
        <w:t xml:space="preserve">Expected impact: </w:t>
      </w:r>
      <w:r>
        <w:rPr>
          <w:i/>
          <w:iCs/>
          <w:color w:val="595959"/>
          <w:sz w:val="20"/>
          <w:szCs w:val="20"/>
        </w:rPr>
        <w:t xml:space="preserve">Even a 5-point shift in volume from Online TA to Direct/Offline channels would materially cut the blended cancellation rate.</w:t>
      </w:r>
    </w:p>
    <w:p>
      <w:pPr>
        <w:spacing w:after="80" w:before="200"/>
      </w:pPr>
      <w:r>
        <w:rPr>
          <w:b/>
          <w:bCs/>
          <w:color w:val="1F3864"/>
          <w:sz w:val="22"/>
          <w:szCs w:val="22"/>
        </w:rPr>
        <w:t xml:space="preserve">3. Launch or expand a guest loyalty programme</w:t>
      </w:r>
    </w:p>
    <w:p>
      <w:pPr>
        <w:spacing w:after="160"/>
        <w:jc w:val="left"/>
      </w:pPr>
      <w:r>
        <w:t xml:space="preserve">Repeat guests cancel at 7.7% vs. 28.3% for first-timers. A simple loyalty scheme (rate discounts, early check-in, room upgrades) that converts more first-time City Hotel guests into repeat guests would compound into lower cancellation risk over time.</w:t>
      </w:r>
    </w:p>
    <w:p>
      <w:pPr>
        <w:spacing w:after="160"/>
      </w:pPr>
      <w:r>
        <w:rPr>
          <w:b/>
          <w:bCs/>
          <w:i/>
          <w:iCs/>
          <w:sz w:val="20"/>
          <w:szCs w:val="20"/>
        </w:rPr>
        <w:t xml:space="preserve">Expected impact: </w:t>
      </w:r>
      <w:r>
        <w:rPr>
          <w:i/>
          <w:iCs/>
          <w:color w:val="595959"/>
          <w:sz w:val="20"/>
          <w:szCs w:val="20"/>
        </w:rPr>
        <w:t xml:space="preserve">Loyalty is the single strongest cancellation-reducing factor found in the data.</w:t>
      </w:r>
    </w:p>
    <w:p>
      <w:pPr>
        <w:spacing w:after="80" w:before="200"/>
      </w:pPr>
      <w:r>
        <w:rPr>
          <w:b/>
          <w:bCs/>
          <w:color w:val="1F3864"/>
          <w:sz w:val="22"/>
          <w:szCs w:val="22"/>
        </w:rPr>
        <w:t xml:space="preserve">4. Prompt guests to add special requests at booking</w:t>
      </w:r>
    </w:p>
    <w:p>
      <w:pPr>
        <w:spacing w:after="160"/>
        <w:jc w:val="left"/>
      </w:pPr>
      <w:r>
        <w:t xml:space="preserve">Cancellation rate falls from 33.3% (0 requests) to 5.6% (5 requests). A booking-flow prompt ("Would you like an early check-in, high floor, or extra pillows?") increases guest investment in the stay at near-zero cost.</w:t>
      </w:r>
    </w:p>
    <w:p>
      <w:pPr>
        <w:spacing w:after="160"/>
      </w:pPr>
      <w:r>
        <w:rPr>
          <w:b/>
          <w:bCs/>
          <w:i/>
          <w:iCs/>
          <w:sz w:val="20"/>
          <w:szCs w:val="20"/>
        </w:rPr>
        <w:t xml:space="preserve">Expected impact: </w:t>
      </w:r>
      <w:r>
        <w:rPr>
          <w:i/>
          <w:iCs/>
          <w:color w:val="595959"/>
          <w:sz w:val="20"/>
          <w:szCs w:val="20"/>
        </w:rPr>
        <w:t xml:space="preserve">Low-cost, high-leverage nudge; special requests are one of the strongest engagement signals in the data.</w:t>
      </w:r>
    </w:p>
    <w:p>
      <w:pPr>
        <w:spacing w:after="80" w:before="200"/>
      </w:pPr>
      <w:r>
        <w:rPr>
          <w:b/>
          <w:bCs/>
          <w:color w:val="1F3864"/>
          <w:sz w:val="22"/>
          <w:szCs w:val="22"/>
        </w:rPr>
        <w:t xml:space="preserve">5. Re-price and re-market under-sold premium rooms</w:t>
      </w:r>
    </w:p>
    <w:p>
      <w:pPr>
        <w:spacing w:after="160"/>
        <w:jc w:val="left"/>
      </w:pPr>
      <w:r>
        <w:t xml:space="preserve">Room types F, G and H command the highest ADR ($168-189) but make up under 4% of bookings combined. Bundle these rooms with the loyalty programme (recommendation 3) or promote them more visibly in the booking flow / OTA listings to lift their share of a highly profitable but under-utilised inventory segment.</w:t>
      </w:r>
    </w:p>
    <w:p>
      <w:pPr>
        <w:spacing w:after="160"/>
      </w:pPr>
      <w:r>
        <w:rPr>
          <w:b/>
          <w:bCs/>
          <w:i/>
          <w:iCs/>
          <w:sz w:val="20"/>
          <w:szCs w:val="20"/>
        </w:rPr>
        <w:t xml:space="preserve">Expected impact: </w:t>
      </w:r>
      <w:r>
        <w:rPr>
          <w:i/>
          <w:iCs/>
          <w:color w:val="595959"/>
          <w:sz w:val="20"/>
          <w:szCs w:val="20"/>
        </w:rPr>
        <w:t xml:space="preserve">Room Type A alone drives 65% of volume at the lowest ADR — shifting even a small share of demand toward higher-ADR rooms increases revenue per booking without adding new customers.</w:t>
      </w:r>
    </w:p>
    <w:p>
      <w:pPr>
        <w:spacing w:after="80" w:before="200"/>
      </w:pPr>
      <w:r>
        <w:rPr>
          <w:b/>
          <w:bCs/>
          <w:color w:val="1F3864"/>
          <w:sz w:val="22"/>
          <w:szCs w:val="22"/>
        </w:rPr>
        <w:t xml:space="preserve">6. Build peak-season overbooking buffers around real cancellation data</w:t>
      </w:r>
    </w:p>
    <w:p>
      <w:pPr>
        <w:spacing w:after="160"/>
        <w:jc w:val="left"/>
      </w:pPr>
      <w:r>
        <w:t xml:space="preserve">July-August is simultaneously the highest-volume and highest-cancellation-rate period (31-32%). Use the lead-time and deposit-type cancellation curves from this project to size a data-driven overbooking allowance for peak months rather than a flat seasonal rule, protecting against both empty rooms and walk-aways.</w:t>
      </w:r>
    </w:p>
    <w:p>
      <w:pPr>
        <w:spacing w:after="160"/>
      </w:pPr>
      <w:r>
        <w:rPr>
          <w:b/>
          <w:bCs/>
          <w:i/>
          <w:iCs/>
          <w:sz w:val="20"/>
          <w:szCs w:val="20"/>
        </w:rPr>
        <w:t xml:space="preserve">Expected impact: </w:t>
      </w:r>
      <w:r>
        <w:rPr>
          <w:i/>
          <w:iCs/>
          <w:color w:val="595959"/>
          <w:sz w:val="20"/>
          <w:szCs w:val="20"/>
        </w:rPr>
        <w:t xml:space="preserve">Converts a known seasonal risk into a quantified, plannable buffer instead of a guess.</w:t>
      </w:r>
    </w:p>
    <w:p>
      <w:pPr>
        <w:spacing w:after="80" w:before="200"/>
      </w:pPr>
      <w:r>
        <w:rPr>
          <w:b/>
          <w:bCs/>
          <w:color w:val="1F3864"/>
          <w:sz w:val="22"/>
          <w:szCs w:val="22"/>
        </w:rPr>
        <w:t xml:space="preserve">7. Flag high-risk bookings for proactive outreach</w:t>
      </w:r>
    </w:p>
    <w:p>
      <w:pPr>
        <w:spacing w:after="160"/>
        <w:jc w:val="left"/>
      </w:pPr>
      <w:r>
        <w:t xml:space="preserve">Guests with a history of prior cancellations, a 90+ day lead time, and no special requests represent a compounding risk profile. A simple flag in the reservation system (buildable with the same COUNTIFS logic used in this project's Excel workbook) lets front-desk/reservations teams proactively call or email these guests to confirm before the stay, rather than discovering the cancellation days out.</w:t>
      </w:r>
    </w:p>
    <w:p>
      <w:pPr>
        <w:spacing w:after="160"/>
      </w:pPr>
      <w:r>
        <w:rPr>
          <w:b/>
          <w:bCs/>
          <w:i/>
          <w:iCs/>
          <w:sz w:val="20"/>
          <w:szCs w:val="20"/>
        </w:rPr>
        <w:t xml:space="preserve">Expected impact: </w:t>
      </w:r>
      <w:r>
        <w:rPr>
          <w:i/>
          <w:iCs/>
          <w:color w:val="595959"/>
          <w:sz w:val="20"/>
          <w:szCs w:val="20"/>
        </w:rPr>
        <w:t xml:space="preserve">Turns a descriptive finding into an operational, day-to-day process the hotel can run without new software.</w:t>
      </w:r>
    </w:p>
    <w:p>
      <w:r>
        <w:br w:type="page"/>
      </w:r>
    </w:p>
    <w:p>
      <w:pPr>
        <w:pStyle w:val="Heading1"/>
        <w:spacing w:after="160" w:before="320"/>
      </w:pPr>
      <w:r>
        <w:t xml:space="preserve">8. Resume / Portfolio Description</w:t>
      </w:r>
    </w:p>
    <w:p>
      <w:pPr>
        <w:pStyle w:val="Heading2"/>
        <w:spacing w:after="120" w:before="240"/>
      </w:pPr>
      <w:r>
        <w:t xml:space="preserve">Short version (1 line, for a resume bullet)</w:t>
      </w:r>
    </w:p>
    <w:p>
      <w:pPr>
        <w:spacing w:after="160"/>
        <w:jc w:val="left"/>
      </w:pPr>
      <w:r>
        <w:rPr>
          <w:i/>
          <w:iCs/>
        </w:rPr>
        <w:t xml:space="preserve">Hotel Booking Analysis — Cleaned and analysed 87K+ real hotel booking records in Excel (formulas, PivotTables, charts) and built an interactive Power BI dashboard to surface cancellation drivers and revenue trends; findings translated into 7 data-backed recommendations projected to reduce cancellation-related revenue loss.</w:t>
      </w:r>
    </w:p>
    <w:p>
      <w:pPr>
        <w:pStyle w:val="Heading2"/>
        <w:spacing w:after="120" w:before="240"/>
      </w:pPr>
      <w:r>
        <w:t xml:space="preserve">Full version (for a portfolio page / LinkedIn project description)</w:t>
      </w:r>
    </w:p>
    <w:p>
      <w:pPr>
        <w:spacing w:after="160"/>
        <w:jc w:val="left"/>
      </w:pPr>
      <w:r>
        <w:t xml:space="preserve">Hotel Booking Analysis (Excel + Power BI). Sourced a real, publicly available hotel-reservations dataset (119,390 bookings, 2015-2017) and independently designed an end-to-end analytics workflow using only Microsoft Excel and Power BI — no code. In Excel: audited and cleaned the raw data (handled missing values and 32K duplicate records), engineered 8 calculated columns, and built a formula-driven KPI dashboard and six PivotTable-style analysis views (SUMIFS/COUNTIFS/AVERAGEIFS) covering cancellations, revenue, room types, lead time, and seasonality — zero formula errors across 28,000+ formulas. In Power BI: designed a 4-page interactive dashboard with 12 DAX measures, cross-filtering slicers, and a consistent visual theme. Delivered 7 prioritised, quantified business recommendations, including a lead-time-based deposit policy and a channel-mix strategy, addressing an identified $11.5M in annual cancellation-driven revenue leakage in the source data.</w:t>
      </w:r>
    </w:p>
    <w:p>
      <w:pPr>
        <w:pStyle w:val="Heading2"/>
        <w:spacing w:after="120" w:before="240"/>
      </w:pPr>
      <w:r>
        <w:t xml:space="preserve">Skills demonstrated</w:t>
      </w:r>
    </w:p>
    <w:p>
      <w:pPr>
        <w:pStyle w:val="ListParagraph"/>
        <w:numPr>
          <w:ilvl w:val="0"/>
          <w:numId w:val="1"/>
        </w:numPr>
        <w:spacing w:after="90"/>
      </w:pPr>
      <w:r>
        <w:t xml:space="preserve">Data cleaning &amp; data quality auditing</w:t>
      </w:r>
    </w:p>
    <w:p>
      <w:pPr>
        <w:pStyle w:val="ListParagraph"/>
        <w:numPr>
          <w:ilvl w:val="0"/>
          <w:numId w:val="1"/>
        </w:numPr>
        <w:spacing w:after="90"/>
      </w:pPr>
      <w:r>
        <w:t xml:space="preserve">Excel formulas (SUMIFS, COUNTIFS, AVERAGEIFS, IFS, nested IF)</w:t>
      </w:r>
    </w:p>
    <w:p>
      <w:pPr>
        <w:pStyle w:val="ListParagraph"/>
        <w:numPr>
          <w:ilvl w:val="0"/>
          <w:numId w:val="1"/>
        </w:numPr>
        <w:spacing w:after="90"/>
      </w:pPr>
      <w:r>
        <w:t xml:space="preserve">PivotTables &amp; PivotTable-style analysis</w:t>
      </w:r>
    </w:p>
    <w:p>
      <w:pPr>
        <w:pStyle w:val="ListParagraph"/>
        <w:numPr>
          <w:ilvl w:val="0"/>
          <w:numId w:val="1"/>
        </w:numPr>
        <w:spacing w:after="90"/>
      </w:pPr>
      <w:r>
        <w:t xml:space="preserve">Data visualisation &amp; chart design</w:t>
      </w:r>
    </w:p>
    <w:p>
      <w:pPr>
        <w:pStyle w:val="ListParagraph"/>
        <w:numPr>
          <w:ilvl w:val="0"/>
          <w:numId w:val="1"/>
        </w:numPr>
        <w:spacing w:after="90"/>
      </w:pPr>
      <w:r>
        <w:t xml:space="preserve">Power BI &amp; DAX</w:t>
      </w:r>
    </w:p>
    <w:p>
      <w:pPr>
        <w:pStyle w:val="ListParagraph"/>
        <w:numPr>
          <w:ilvl w:val="0"/>
          <w:numId w:val="1"/>
        </w:numPr>
        <w:spacing w:after="90"/>
      </w:pPr>
      <w:r>
        <w:t xml:space="preserve">Dashboard/report design</w:t>
      </w:r>
    </w:p>
    <w:p>
      <w:pPr>
        <w:pStyle w:val="ListParagraph"/>
        <w:numPr>
          <w:ilvl w:val="0"/>
          <w:numId w:val="1"/>
        </w:numPr>
        <w:spacing w:after="90"/>
      </w:pPr>
      <w:r>
        <w:t xml:space="preserve">Business analysis &amp; insight generation</w:t>
      </w:r>
    </w:p>
    <w:p>
      <w:pPr>
        <w:pStyle w:val="ListParagraph"/>
        <w:numPr>
          <w:ilvl w:val="0"/>
          <w:numId w:val="1"/>
        </w:numPr>
        <w:spacing w:after="90"/>
      </w:pPr>
      <w:r>
        <w:t xml:space="preserve">Written business communication</w:t>
      </w:r>
    </w:p>
    <w:p>
      <w:r>
        <w:br w:type="page"/>
      </w:r>
    </w:p>
    <w:p>
      <w:pPr>
        <w:pStyle w:val="Heading1"/>
        <w:spacing w:after="160" w:before="320"/>
      </w:pPr>
      <w:r>
        <w:t xml:space="preserve">9. Viva / Presentation — Explanation &amp; Likely Questions</w:t>
      </w:r>
    </w:p>
    <w:p>
      <w:pPr>
        <w:pStyle w:val="Heading2"/>
        <w:spacing w:after="120" w:before="240"/>
      </w:pPr>
      <w:r>
        <w:t xml:space="preserve">How to present this project in 5 minutes</w:t>
      </w:r>
    </w:p>
    <w:p>
      <w:pPr>
        <w:pStyle w:val="ListParagraph"/>
        <w:numPr>
          <w:ilvl w:val="0"/>
          <w:numId w:val="2"/>
        </w:numPr>
        <w:spacing w:after="90"/>
      </w:pPr>
      <w:r>
        <w:t xml:space="preserve">Start with the problem: hotels lose revenue to cancellations and don't always know why. State the $11.5M lost-revenue figure from the real data as your hook.</w:t>
      </w:r>
    </w:p>
    <w:p>
      <w:pPr>
        <w:pStyle w:val="ListParagraph"/>
        <w:numPr>
          <w:ilvl w:val="0"/>
          <w:numId w:val="2"/>
        </w:numPr>
        <w:spacing w:after="90"/>
      </w:pPr>
      <w:r>
        <w:t xml:space="preserve">Show the Excel workbook: Raw Data → Cleaning Log → Cleaned Data with calculated columns → KPI Dashboard → one Pivot-style sheet. Emphasise that every number is a live formula, not a typed-in value.</w:t>
      </w:r>
    </w:p>
    <w:p>
      <w:pPr>
        <w:pStyle w:val="ListParagraph"/>
        <w:numPr>
          <w:ilvl w:val="0"/>
          <w:numId w:val="2"/>
        </w:numPr>
        <w:spacing w:after="90"/>
      </w:pPr>
      <w:r>
        <w:t xml:space="preserve">Switch to Power BI: show the Executive Overview page, then click a slicer (e.g. Hotel Type) live to demonstrate interactivity, then walk through the Cancellation Analysis page.</w:t>
      </w:r>
    </w:p>
    <w:p>
      <w:pPr>
        <w:pStyle w:val="ListParagraph"/>
        <w:numPr>
          <w:ilvl w:val="0"/>
          <w:numId w:val="2"/>
        </w:numPr>
        <w:spacing w:after="90"/>
      </w:pPr>
      <w:r>
        <w:t xml:space="preserve">Close with 2-3 of your strongest recommendations and their expected impact, tying back to the numbers you showed.</w:t>
      </w:r>
    </w:p>
    <w:p>
      <w:pPr>
        <w:pStyle w:val="Heading2"/>
        <w:spacing w:after="120" w:before="240"/>
      </w:pPr>
      <w:r>
        <w:t xml:space="preserve">Likely viva questions &amp; model answers</w:t>
      </w:r>
    </w:p>
    <w:p>
      <w:pPr>
        <w:spacing w:after="160"/>
      </w:pPr>
      <w:r>
        <w:rPr>
          <w:b/>
          <w:bCs/>
          <w:color w:val="1F3864"/>
          <w:sz w:val="21"/>
          <w:szCs w:val="21"/>
        </w:rPr>
        <w:t xml:space="preserve">Q: Why did you choose this dataset?</w:t>
      </w:r>
    </w:p>
    <w:p>
      <w:pPr>
        <w:spacing w:after="160"/>
        <w:jc w:val="left"/>
      </w:pPr>
      <w:r>
        <w:t xml:space="preserve">A: It is a real, large, publicly documented dataset (peer-reviewed, published in Data in Brief) with genuine data-quality issues — missing values and duplicates — which let me demonstrate authentic cleaning technique rather than working with a toy dataset.</w:t>
      </w:r>
    </w:p>
    <w:p>
      <w:pPr>
        <w:spacing w:after="160"/>
      </w:pPr>
      <w:r>
        <w:rPr>
          <w:b/>
          <w:bCs/>
          <w:color w:val="1F3864"/>
          <w:sz w:val="21"/>
          <w:szCs w:val="21"/>
        </w:rPr>
        <w:t xml:space="preserve">Q: Why is your Excel workbook built on a sample rather than the full 87,230 rows?</w:t>
      </w:r>
    </w:p>
    <w:p>
      <w:pPr>
        <w:spacing w:after="160"/>
        <w:jc w:val="left"/>
      </w:pPr>
      <w:r>
        <w:t xml:space="preserve">A: Excel can hold that many rows, but recalculating tens of thousands of live formulas (including duplicate-detection logic) on every edit would make the workbook slow to use interactively. I used a representative 2,600-row sample so every formula, chart and PivotTable-style table in the workbook stays instantly responsive, while all the headline business figures quoted in my findings come from the full cleaned dataset for accuracy — both files are included in the deliverables.</w:t>
      </w:r>
    </w:p>
    <w:p>
      <w:pPr>
        <w:spacing w:after="160"/>
      </w:pPr>
      <w:r>
        <w:rPr>
          <w:b/>
          <w:bCs/>
          <w:color w:val="1F3864"/>
          <w:sz w:val="21"/>
          <w:szCs w:val="21"/>
        </w:rPr>
        <w:t xml:space="preserve">Q: Why do the KPIs on the Excel KPI Dashboard differ slightly from the ones in your Key Findings report?</w:t>
      </w:r>
    </w:p>
    <w:p>
      <w:pPr>
        <w:spacing w:after="160"/>
        <w:jc w:val="left"/>
      </w:pPr>
      <w:r>
        <w:t xml:space="preserve">A: The Excel dashboard reflects the 2,451-row cleaned sample, which by chance retained a slightly higher share of cancelled bookings (36% vs. the true 27.5% in the full cleaned dataset) — duplicate cancelled bookings were not evenly distributed across the raw data. This is disclosed directly on the KPI Dashboard sheet. My Key Findings and Recommendations are based on the full 87,230-row cleaned dataset, not the sample.</w:t>
      </w:r>
    </w:p>
    <w:p>
      <w:pPr>
        <w:spacing w:after="160"/>
      </w:pPr>
      <w:r>
        <w:rPr>
          <w:b/>
          <w:bCs/>
          <w:color w:val="1F3864"/>
          <w:sz w:val="21"/>
          <w:szCs w:val="21"/>
        </w:rPr>
        <w:t xml:space="preserve">Q: What's the difference between DIVIDE() and using the "/" operator in DAX?</w:t>
      </w:r>
    </w:p>
    <w:p>
      <w:pPr>
        <w:spacing w:after="160"/>
        <w:jc w:val="left"/>
      </w:pPr>
      <w:r>
        <w:t xml:space="preserve">A: DIVIDE() takes a third "alternate result" argument and safely returns that (I use 0) when the denominator is zero, instead of throwing a division error — important because a slicer selection can filter a measure's denominator down to zero.</w:t>
      </w:r>
    </w:p>
    <w:p>
      <w:pPr>
        <w:spacing w:after="160"/>
      </w:pPr>
      <w:r>
        <w:rPr>
          <w:b/>
          <w:bCs/>
          <w:color w:val="1F3864"/>
          <w:sz w:val="21"/>
          <w:szCs w:val="21"/>
        </w:rPr>
        <w:t xml:space="preserve">Q: Why is deposit type's relationship with cancellation potentially misleading?</w:t>
      </w:r>
    </w:p>
    <w:p>
      <w:pPr>
        <w:spacing w:after="160"/>
        <w:jc w:val="left"/>
      </w:pPr>
      <w:r>
        <w:t xml:space="preserve">A: Non-refundable bookings cancel 94.7% of the time, but that's a data artefact specific to this market/period — non-refundable deposits were disproportionately used for speculative/placeholder bookings, not proof that requiring a non-refundable deposit causes cancellations. I state this caveat explicitly rather than over-claiming causation from correlation.</w:t>
      </w:r>
    </w:p>
    <w:p>
      <w:pPr>
        <w:spacing w:after="160"/>
      </w:pPr>
      <w:r>
        <w:rPr>
          <w:b/>
          <w:bCs/>
          <w:color w:val="1F3864"/>
          <w:sz w:val="21"/>
          <w:szCs w:val="21"/>
        </w:rPr>
        <w:t xml:space="preserve">Q: How would you extend this project?</w:t>
      </w:r>
    </w:p>
    <w:p>
      <w:pPr>
        <w:spacing w:after="160"/>
        <w:jc w:val="left"/>
      </w:pPr>
      <w:r>
        <w:t xml:space="preserve">A: Add a Power BI what-if parameter to simulate the revenue impact of different deposit-policy thresholds; bring in a simple logistic-regression-style risk score (still buildable with Excel formulas) to flag high-cancellation-risk bookings automatically; connect Power BI directly to a live property-management-system export instead of a static CSV.</w:t>
      </w:r>
    </w:p>
    <w:p>
      <w:pPr>
        <w:spacing w:after="160"/>
      </w:pPr>
      <w:r>
        <w:rPr>
          <w:b/>
          <w:bCs/>
          <w:color w:val="1F3864"/>
          <w:sz w:val="21"/>
          <w:szCs w:val="21"/>
        </w:rPr>
        <w:t xml:space="preserve">Q: What was the hardest part of the project?</w:t>
      </w:r>
    </w:p>
    <w:p>
      <w:pPr>
        <w:spacing w:after="160"/>
        <w:jc w:val="left"/>
      </w:pPr>
      <w:r>
        <w:t xml:space="preserve">A: Getting the balance right between a fully formula-driven Excel workbook (so PivotTable-style tables update if the data changes) and keeping the file fast — required using a representative sample and a single-column concatenated key for duplicate detection instead of a slower multi-column COUNTIFS.</w:t>
      </w:r>
    </w:p>
    <w:p>
      <w:pPr>
        <w:spacing w:after="160"/>
      </w:pPr>
      <w:r>
        <w:rPr>
          <w:b/>
          <w:bCs/>
          <w:color w:val="1F3864"/>
          <w:sz w:val="21"/>
          <w:szCs w:val="21"/>
        </w:rPr>
        <w:t xml:space="preserve">Q: Why wasn't a ready-made .pbix file provided?</w:t>
      </w:r>
    </w:p>
    <w:p>
      <w:pPr>
        <w:spacing w:after="160"/>
        <w:jc w:val="left"/>
      </w:pPr>
      <w:r>
        <w:t xml:space="preserve">A: A .pbix/.pbip is a package that Power BI Desktop itself writes with internal, Desktop-version-specific identifiers that can't be reliably hand-authored outside the application — even purpose-built developer tooling for scripting Power BI files avoids assembling that shell from scratch for this reason. Instead, everything that can be produced reliably outside Desktop was provided: the cleaned CSV, every DAX measure, the exact page/visual layout, and a one-click custom theme file — Section 5 reproduces the full dashboard in Power BI Desktop in under two hours.</w:t>
      </w:r>
    </w:p>
    <w:p>
      <w:r>
        <w:br w:type="page"/>
      </w:r>
    </w:p>
    <w:p>
      <w:pPr>
        <w:pStyle w:val="Heading1"/>
        <w:spacing w:after="160" w:before="320"/>
      </w:pPr>
      <w:r>
        <w:t xml:space="preserve">10. Final Deliverables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1F3864" w:val="clear"/>
            <w:tcMar>
              <w:top w:type="dxa" w:w="60"/>
              <w:left w:type="dxa" w:w="100"/>
              <w:bottom w:type="dxa" w:w="60"/>
              <w:right w:type="dxa" w:w="100"/>
            </w:tcMar>
            <w:vAlign w:val="center"/>
          </w:tcPr>
          <w:p>
            <w:r>
              <w:rPr>
                <w:b/>
                <w:bCs/>
                <w:color w:val="FFFFFF"/>
                <w:sz w:val="20"/>
                <w:szCs w:val="20"/>
              </w:rPr>
              <w:t xml:space="preserve">#</w:t>
            </w:r>
          </w:p>
        </w:tc>
        <w:tc>
          <w:tcPr>
            <w:tcW w:type="dxa" w:w="3400"/>
            <w:shd w:fill="1F3864" w:val="clear"/>
            <w:tcMar>
              <w:top w:type="dxa" w:w="60"/>
              <w:left w:type="dxa" w:w="100"/>
              <w:bottom w:type="dxa" w:w="60"/>
              <w:right w:type="dxa" w:w="100"/>
            </w:tcMar>
            <w:vAlign w:val="center"/>
          </w:tcPr>
          <w:p>
            <w:r>
              <w:rPr>
                <w:b/>
                <w:bCs/>
                <w:color w:val="FFFFFF"/>
                <w:sz w:val="20"/>
                <w:szCs w:val="20"/>
              </w:rPr>
              <w:t xml:space="preserve">Deliverable</w:t>
            </w:r>
          </w:p>
        </w:tc>
        <w:tc>
          <w:tcPr>
            <w:tcW w:type="dxa" w:w="5450"/>
            <w:shd w:fill="1F3864" w:val="clear"/>
            <w:tcMar>
              <w:top w:type="dxa" w:w="60"/>
              <w:left w:type="dxa" w:w="100"/>
              <w:bottom w:type="dxa" w:w="60"/>
              <w:right w:type="dxa" w:w="100"/>
            </w:tcMar>
            <w:vAlign w:val="center"/>
          </w:tcPr>
          <w:p>
            <w:r>
              <w:rPr>
                <w:b/>
                <w:bCs/>
                <w:color w:val="FFFFFF"/>
                <w:sz w:val="20"/>
                <w:szCs w:val="20"/>
              </w:rPr>
              <w:t xml:space="preserve">File / Location</w:t>
            </w:r>
          </w:p>
        </w:tc>
      </w:tr>
      <w:tr>
        <w:tc>
          <w:tcPr>
            <w:tcW w:type="dxa" w:w="500"/>
            <w:shd w:fill="FFFFFF" w:val="clear"/>
            <w:tcMar>
              <w:top w:type="dxa" w:w="60"/>
              <w:left w:type="dxa" w:w="100"/>
              <w:bottom w:type="dxa" w:w="60"/>
              <w:right w:type="dxa" w:w="100"/>
            </w:tcMar>
            <w:vAlign w:val="center"/>
          </w:tcPr>
          <w:p>
            <w:r>
              <w:rPr>
                <w:b w:val="false"/>
                <w:bCs w:val="false"/>
                <w:sz w:val="20"/>
                <w:szCs w:val="20"/>
              </w:rPr>
              <w:t xml:space="preserve">1</w:t>
            </w:r>
          </w:p>
        </w:tc>
        <w:tc>
          <w:tcPr>
            <w:tcW w:type="dxa" w:w="3400"/>
            <w:shd w:fill="FFFFFF" w:val="clear"/>
            <w:tcMar>
              <w:top w:type="dxa" w:w="60"/>
              <w:left w:type="dxa" w:w="100"/>
              <w:bottom w:type="dxa" w:w="60"/>
              <w:right w:type="dxa" w:w="100"/>
            </w:tcMar>
            <w:vAlign w:val="center"/>
          </w:tcPr>
          <w:p>
            <w:r>
              <w:rPr>
                <w:b w:val="false"/>
                <w:bCs w:val="false"/>
                <w:sz w:val="20"/>
                <w:szCs w:val="20"/>
              </w:rPr>
              <w:t xml:space="preserve">Raw dataset</w:t>
            </w:r>
          </w:p>
        </w:tc>
        <w:tc>
          <w:tcPr>
            <w:tcW w:type="dxa" w:w="5450"/>
            <w:shd w:fill="FFFFFF" w:val="clear"/>
            <w:tcMar>
              <w:top w:type="dxa" w:w="60"/>
              <w:left w:type="dxa" w:w="100"/>
              <w:bottom w:type="dxa" w:w="60"/>
              <w:right w:type="dxa" w:w="100"/>
            </w:tcMar>
            <w:vAlign w:val="center"/>
          </w:tcPr>
          <w:p>
            <w:r>
              <w:rPr>
                <w:b w:val="false"/>
                <w:bCs w:val="false"/>
                <w:sz w:val="20"/>
                <w:szCs w:val="20"/>
              </w:rPr>
              <w:t xml:space="preserve">Hotel_Bookings_RAW_Dataset.csv (119,390 rows)</w:t>
            </w:r>
          </w:p>
        </w:tc>
      </w:tr>
      <w:tr>
        <w:tc>
          <w:tcPr>
            <w:tcW w:type="dxa" w:w="500"/>
            <w:shd w:fill="F2F2F2" w:val="clear"/>
            <w:tcMar>
              <w:top w:type="dxa" w:w="60"/>
              <w:left w:type="dxa" w:w="100"/>
              <w:bottom w:type="dxa" w:w="60"/>
              <w:right w:type="dxa" w:w="100"/>
            </w:tcMar>
            <w:vAlign w:val="center"/>
          </w:tcPr>
          <w:p>
            <w:r>
              <w:rPr>
                <w:b w:val="false"/>
                <w:bCs w:val="false"/>
                <w:sz w:val="20"/>
                <w:szCs w:val="20"/>
              </w:rPr>
              <w:t xml:space="preserve">2</w:t>
            </w:r>
          </w:p>
        </w:tc>
        <w:tc>
          <w:tcPr>
            <w:tcW w:type="dxa" w:w="3400"/>
            <w:shd w:fill="F2F2F2" w:val="clear"/>
            <w:tcMar>
              <w:top w:type="dxa" w:w="60"/>
              <w:left w:type="dxa" w:w="100"/>
              <w:bottom w:type="dxa" w:w="60"/>
              <w:right w:type="dxa" w:w="100"/>
            </w:tcMar>
            <w:vAlign w:val="center"/>
          </w:tcPr>
          <w:p>
            <w:r>
              <w:rPr>
                <w:b w:val="false"/>
                <w:bCs w:val="false"/>
                <w:sz w:val="20"/>
                <w:szCs w:val="20"/>
              </w:rPr>
              <w:t xml:space="preserve">Cleaned dataset (full)</w:t>
            </w:r>
          </w:p>
        </w:tc>
        <w:tc>
          <w:tcPr>
            <w:tcW w:type="dxa" w:w="5450"/>
            <w:shd w:fill="F2F2F2" w:val="clear"/>
            <w:tcMar>
              <w:top w:type="dxa" w:w="60"/>
              <w:left w:type="dxa" w:w="100"/>
              <w:bottom w:type="dxa" w:w="60"/>
              <w:right w:type="dxa" w:w="100"/>
            </w:tcMar>
            <w:vAlign w:val="center"/>
          </w:tcPr>
          <w:p>
            <w:r>
              <w:rPr>
                <w:b w:val="false"/>
                <w:bCs w:val="false"/>
                <w:sz w:val="20"/>
                <w:szCs w:val="20"/>
              </w:rPr>
              <w:t xml:space="preserve">Hotel_Bookings_CLEANED_FullDataset.csv (87,230 rows) — import this into Power BI</w:t>
            </w:r>
          </w:p>
        </w:tc>
      </w:tr>
      <w:tr>
        <w:tc>
          <w:tcPr>
            <w:tcW w:type="dxa" w:w="500"/>
            <w:shd w:fill="FFFFFF" w:val="clear"/>
            <w:tcMar>
              <w:top w:type="dxa" w:w="60"/>
              <w:left w:type="dxa" w:w="100"/>
              <w:bottom w:type="dxa" w:w="60"/>
              <w:right w:type="dxa" w:w="100"/>
            </w:tcMar>
            <w:vAlign w:val="center"/>
          </w:tcPr>
          <w:p>
            <w:r>
              <w:rPr>
                <w:b w:val="false"/>
                <w:bCs w:val="false"/>
                <w:sz w:val="20"/>
                <w:szCs w:val="20"/>
              </w:rPr>
              <w:t xml:space="preserve">3</w:t>
            </w:r>
          </w:p>
        </w:tc>
        <w:tc>
          <w:tcPr>
            <w:tcW w:type="dxa" w:w="3400"/>
            <w:shd w:fill="FFFFFF" w:val="clear"/>
            <w:tcMar>
              <w:top w:type="dxa" w:w="60"/>
              <w:left w:type="dxa" w:w="100"/>
              <w:bottom w:type="dxa" w:w="60"/>
              <w:right w:type="dxa" w:w="100"/>
            </w:tcMar>
            <w:vAlign w:val="center"/>
          </w:tcPr>
          <w:p>
            <w:r>
              <w:rPr>
                <w:b w:val="false"/>
                <w:bCs w:val="false"/>
                <w:sz w:val="20"/>
                <w:szCs w:val="20"/>
              </w:rPr>
              <w:t xml:space="preserve">Cleaned Excel workbook</w:t>
            </w:r>
          </w:p>
        </w:tc>
        <w:tc>
          <w:tcPr>
            <w:tcW w:type="dxa" w:w="5450"/>
            <w:shd w:fill="FFFFFF" w:val="clear"/>
            <w:tcMar>
              <w:top w:type="dxa" w:w="60"/>
              <w:left w:type="dxa" w:w="100"/>
              <w:bottom w:type="dxa" w:w="60"/>
              <w:right w:type="dxa" w:w="100"/>
            </w:tcMar>
            <w:vAlign w:val="center"/>
          </w:tcPr>
          <w:p>
            <w:r>
              <w:rPr>
                <w:b w:val="false"/>
                <w:bCs w:val="false"/>
                <w:sz w:val="20"/>
                <w:szCs w:val="20"/>
              </w:rPr>
              <w:t xml:space="preserve">HotelBookingAnalysis.xlsx</w:t>
            </w:r>
          </w:p>
        </w:tc>
      </w:tr>
      <w:tr>
        <w:tc>
          <w:tcPr>
            <w:tcW w:type="dxa" w:w="500"/>
            <w:shd w:fill="F2F2F2" w:val="clear"/>
            <w:tcMar>
              <w:top w:type="dxa" w:w="60"/>
              <w:left w:type="dxa" w:w="100"/>
              <w:bottom w:type="dxa" w:w="60"/>
              <w:right w:type="dxa" w:w="100"/>
            </w:tcMar>
            <w:vAlign w:val="center"/>
          </w:tcPr>
          <w:p>
            <w:r>
              <w:rPr>
                <w:b w:val="false"/>
                <w:bCs w:val="false"/>
                <w:sz w:val="20"/>
                <w:szCs w:val="20"/>
              </w:rPr>
              <w:t xml:space="preserve">4</w:t>
            </w:r>
          </w:p>
        </w:tc>
        <w:tc>
          <w:tcPr>
            <w:tcW w:type="dxa" w:w="3400"/>
            <w:shd w:fill="F2F2F2" w:val="clear"/>
            <w:tcMar>
              <w:top w:type="dxa" w:w="60"/>
              <w:left w:type="dxa" w:w="100"/>
              <w:bottom w:type="dxa" w:w="60"/>
              <w:right w:type="dxa" w:w="100"/>
            </w:tcMar>
            <w:vAlign w:val="center"/>
          </w:tcPr>
          <w:p>
            <w:r>
              <w:rPr>
                <w:b w:val="false"/>
                <w:bCs w:val="false"/>
                <w:sz w:val="20"/>
                <w:szCs w:val="20"/>
              </w:rPr>
              <w:t xml:space="preserve">Excel formulas, PivotTable-style tables, charts</w:t>
            </w:r>
          </w:p>
        </w:tc>
        <w:tc>
          <w:tcPr>
            <w:tcW w:type="dxa" w:w="5450"/>
            <w:shd w:fill="F2F2F2" w:val="clear"/>
            <w:tcMar>
              <w:top w:type="dxa" w:w="60"/>
              <w:left w:type="dxa" w:w="100"/>
              <w:bottom w:type="dxa" w:w="60"/>
              <w:right w:type="dxa" w:w="100"/>
            </w:tcMar>
            <w:vAlign w:val="center"/>
          </w:tcPr>
          <w:p>
            <w:r>
              <w:rPr>
                <w:b w:val="false"/>
                <w:bCs w:val="false"/>
                <w:sz w:val="20"/>
                <w:szCs w:val="20"/>
              </w:rPr>
              <w:t xml:space="preserve">Contained within HotelBookingAnalysis.xlsx (11 sheets)</w:t>
            </w:r>
          </w:p>
        </w:tc>
      </w:tr>
      <w:tr>
        <w:tc>
          <w:tcPr>
            <w:tcW w:type="dxa" w:w="500"/>
            <w:shd w:fill="FFFFFF" w:val="clear"/>
            <w:tcMar>
              <w:top w:type="dxa" w:w="60"/>
              <w:left w:type="dxa" w:w="100"/>
              <w:bottom w:type="dxa" w:w="60"/>
              <w:right w:type="dxa" w:w="100"/>
            </w:tcMar>
            <w:vAlign w:val="center"/>
          </w:tcPr>
          <w:p>
            <w:r>
              <w:rPr>
                <w:b w:val="false"/>
                <w:bCs w:val="false"/>
                <w:sz w:val="20"/>
                <w:szCs w:val="20"/>
              </w:rPr>
              <w:t xml:space="preserve">5</w:t>
            </w:r>
          </w:p>
        </w:tc>
        <w:tc>
          <w:tcPr>
            <w:tcW w:type="dxa" w:w="3400"/>
            <w:shd w:fill="FFFFFF" w:val="clear"/>
            <w:tcMar>
              <w:top w:type="dxa" w:w="60"/>
              <w:left w:type="dxa" w:w="100"/>
              <w:bottom w:type="dxa" w:w="60"/>
              <w:right w:type="dxa" w:w="100"/>
            </w:tcMar>
            <w:vAlign w:val="center"/>
          </w:tcPr>
          <w:p>
            <w:r>
              <w:rPr>
                <w:b w:val="false"/>
                <w:bCs w:val="false"/>
                <w:sz w:val="20"/>
                <w:szCs w:val="20"/>
              </w:rPr>
              <w:t xml:space="preserve">Power BI dashboard design + DAX measures</w:t>
            </w:r>
          </w:p>
        </w:tc>
        <w:tc>
          <w:tcPr>
            <w:tcW w:type="dxa" w:w="5450"/>
            <w:shd w:fill="FFFFFF" w:val="clear"/>
            <w:tcMar>
              <w:top w:type="dxa" w:w="60"/>
              <w:left w:type="dxa" w:w="100"/>
              <w:bottom w:type="dxa" w:w="60"/>
              <w:right w:type="dxa" w:w="100"/>
            </w:tcMar>
            <w:vAlign w:val="center"/>
          </w:tcPr>
          <w:p>
            <w:r>
              <w:rPr>
                <w:b w:val="false"/>
                <w:bCs w:val="false"/>
                <w:sz w:val="20"/>
                <w:szCs w:val="20"/>
              </w:rPr>
              <w:t xml:space="preserve">Section 5 of this document (build in Power BI Desktop, not pre-buildable outside that application)</w:t>
            </w:r>
          </w:p>
        </w:tc>
      </w:tr>
      <w:tr>
        <w:tc>
          <w:tcPr>
            <w:tcW w:type="dxa" w:w="500"/>
            <w:shd w:fill="F2F2F2" w:val="clear"/>
            <w:tcMar>
              <w:top w:type="dxa" w:w="60"/>
              <w:left w:type="dxa" w:w="100"/>
              <w:bottom w:type="dxa" w:w="60"/>
              <w:right w:type="dxa" w:w="100"/>
            </w:tcMar>
            <w:vAlign w:val="center"/>
          </w:tcPr>
          <w:p>
            <w:r>
              <w:rPr>
                <w:b w:val="false"/>
                <w:bCs w:val="false"/>
                <w:sz w:val="20"/>
                <w:szCs w:val="20"/>
              </w:rPr>
              <w:t xml:space="preserve">6</w:t>
            </w:r>
          </w:p>
        </w:tc>
        <w:tc>
          <w:tcPr>
            <w:tcW w:type="dxa" w:w="3400"/>
            <w:shd w:fill="F2F2F2" w:val="clear"/>
            <w:tcMar>
              <w:top w:type="dxa" w:w="60"/>
              <w:left w:type="dxa" w:w="100"/>
              <w:bottom w:type="dxa" w:w="60"/>
              <w:right w:type="dxa" w:w="100"/>
            </w:tcMar>
            <w:vAlign w:val="center"/>
          </w:tcPr>
          <w:p>
            <w:r>
              <w:rPr>
                <w:b w:val="false"/>
                <w:bCs w:val="false"/>
                <w:sz w:val="20"/>
                <w:szCs w:val="20"/>
              </w:rPr>
              <w:t xml:space="preserve">Power BI custom theme file</w:t>
            </w:r>
          </w:p>
        </w:tc>
        <w:tc>
          <w:tcPr>
            <w:tcW w:type="dxa" w:w="5450"/>
            <w:shd w:fill="F2F2F2" w:val="clear"/>
            <w:tcMar>
              <w:top w:type="dxa" w:w="60"/>
              <w:left w:type="dxa" w:w="100"/>
              <w:bottom w:type="dxa" w:w="60"/>
              <w:right w:type="dxa" w:w="100"/>
            </w:tcMar>
            <w:vAlign w:val="center"/>
          </w:tcPr>
          <w:p>
            <w:r>
              <w:rPr>
                <w:b w:val="false"/>
                <w:bCs w:val="false"/>
                <w:sz w:val="20"/>
                <w:szCs w:val="20"/>
              </w:rPr>
              <w:t xml:space="preserve">HotelBookingAnalysis_PowerBI_Theme.json — import via View &gt; Themes &gt; Browse for themes</w:t>
            </w:r>
          </w:p>
        </w:tc>
      </w:tr>
      <w:tr>
        <w:tc>
          <w:tcPr>
            <w:tcW w:type="dxa" w:w="500"/>
            <w:shd w:fill="FFFFFF" w:val="clear"/>
            <w:tcMar>
              <w:top w:type="dxa" w:w="60"/>
              <w:left w:type="dxa" w:w="100"/>
              <w:bottom w:type="dxa" w:w="60"/>
              <w:right w:type="dxa" w:w="100"/>
            </w:tcMar>
            <w:vAlign w:val="center"/>
          </w:tcPr>
          <w:p>
            <w:r>
              <w:rPr>
                <w:b w:val="false"/>
                <w:bCs w:val="false"/>
                <w:sz w:val="20"/>
                <w:szCs w:val="20"/>
              </w:rPr>
              <w:t xml:space="preserve">7</w:t>
            </w:r>
          </w:p>
        </w:tc>
        <w:tc>
          <w:tcPr>
            <w:tcW w:type="dxa" w:w="3400"/>
            <w:shd w:fill="FFFFFF" w:val="clear"/>
            <w:tcMar>
              <w:top w:type="dxa" w:w="60"/>
              <w:left w:type="dxa" w:w="100"/>
              <w:bottom w:type="dxa" w:w="60"/>
              <w:right w:type="dxa" w:w="100"/>
            </w:tcMar>
            <w:vAlign w:val="center"/>
          </w:tcPr>
          <w:p>
            <w:r>
              <w:rPr>
                <w:b w:val="false"/>
                <w:bCs w:val="false"/>
                <w:sz w:val="20"/>
                <w:szCs w:val="20"/>
              </w:rPr>
              <w:t xml:space="preserve">Key findings &amp; insights</w:t>
            </w:r>
          </w:p>
        </w:tc>
        <w:tc>
          <w:tcPr>
            <w:tcW w:type="dxa" w:w="5450"/>
            <w:shd w:fill="FFFFFF" w:val="clear"/>
            <w:tcMar>
              <w:top w:type="dxa" w:w="60"/>
              <w:left w:type="dxa" w:w="100"/>
              <w:bottom w:type="dxa" w:w="60"/>
              <w:right w:type="dxa" w:w="100"/>
            </w:tcMar>
            <w:vAlign w:val="center"/>
          </w:tcPr>
          <w:p>
            <w:r>
              <w:rPr>
                <w:b w:val="false"/>
                <w:bCs w:val="false"/>
                <w:sz w:val="20"/>
                <w:szCs w:val="20"/>
              </w:rPr>
              <w:t xml:space="preserve">Section 6 of this document</w:t>
            </w:r>
          </w:p>
        </w:tc>
      </w:tr>
      <w:tr>
        <w:tc>
          <w:tcPr>
            <w:tcW w:type="dxa" w:w="500"/>
            <w:shd w:fill="F2F2F2" w:val="clear"/>
            <w:tcMar>
              <w:top w:type="dxa" w:w="60"/>
              <w:left w:type="dxa" w:w="100"/>
              <w:bottom w:type="dxa" w:w="60"/>
              <w:right w:type="dxa" w:w="100"/>
            </w:tcMar>
            <w:vAlign w:val="center"/>
          </w:tcPr>
          <w:p>
            <w:r>
              <w:rPr>
                <w:b w:val="false"/>
                <w:bCs w:val="false"/>
                <w:sz w:val="20"/>
                <w:szCs w:val="20"/>
              </w:rPr>
              <w:t xml:space="preserve">8</w:t>
            </w:r>
          </w:p>
        </w:tc>
        <w:tc>
          <w:tcPr>
            <w:tcW w:type="dxa" w:w="3400"/>
            <w:shd w:fill="F2F2F2" w:val="clear"/>
            <w:tcMar>
              <w:top w:type="dxa" w:w="60"/>
              <w:left w:type="dxa" w:w="100"/>
              <w:bottom w:type="dxa" w:w="60"/>
              <w:right w:type="dxa" w:w="100"/>
            </w:tcMar>
            <w:vAlign w:val="center"/>
          </w:tcPr>
          <w:p>
            <w:r>
              <w:rPr>
                <w:b w:val="false"/>
                <w:bCs w:val="false"/>
                <w:sz w:val="20"/>
                <w:szCs w:val="20"/>
              </w:rPr>
              <w:t xml:space="preserve">Business recommendations</w:t>
            </w:r>
          </w:p>
        </w:tc>
        <w:tc>
          <w:tcPr>
            <w:tcW w:type="dxa" w:w="5450"/>
            <w:shd w:fill="F2F2F2" w:val="clear"/>
            <w:tcMar>
              <w:top w:type="dxa" w:w="60"/>
              <w:left w:type="dxa" w:w="100"/>
              <w:bottom w:type="dxa" w:w="60"/>
              <w:right w:type="dxa" w:w="100"/>
            </w:tcMar>
            <w:vAlign w:val="center"/>
          </w:tcPr>
          <w:p>
            <w:r>
              <w:rPr>
                <w:b w:val="false"/>
                <w:bCs w:val="false"/>
                <w:sz w:val="20"/>
                <w:szCs w:val="20"/>
              </w:rPr>
              <w:t xml:space="preserve">Section 7 of this document</w:t>
            </w:r>
          </w:p>
        </w:tc>
      </w:tr>
      <w:tr>
        <w:tc>
          <w:tcPr>
            <w:tcW w:type="dxa" w:w="500"/>
            <w:shd w:fill="FFFFFF" w:val="clear"/>
            <w:tcMar>
              <w:top w:type="dxa" w:w="60"/>
              <w:left w:type="dxa" w:w="100"/>
              <w:bottom w:type="dxa" w:w="60"/>
              <w:right w:type="dxa" w:w="100"/>
            </w:tcMar>
            <w:vAlign w:val="center"/>
          </w:tcPr>
          <w:p>
            <w:r>
              <w:rPr>
                <w:b w:val="false"/>
                <w:bCs w:val="false"/>
                <w:sz w:val="20"/>
                <w:szCs w:val="20"/>
              </w:rPr>
              <w:t xml:space="preserve">9</w:t>
            </w:r>
          </w:p>
        </w:tc>
        <w:tc>
          <w:tcPr>
            <w:tcW w:type="dxa" w:w="3400"/>
            <w:shd w:fill="FFFFFF" w:val="clear"/>
            <w:tcMar>
              <w:top w:type="dxa" w:w="60"/>
              <w:left w:type="dxa" w:w="100"/>
              <w:bottom w:type="dxa" w:w="60"/>
              <w:right w:type="dxa" w:w="100"/>
            </w:tcMar>
            <w:vAlign w:val="center"/>
          </w:tcPr>
          <w:p>
            <w:r>
              <w:rPr>
                <w:b w:val="false"/>
                <w:bCs w:val="false"/>
                <w:sz w:val="20"/>
                <w:szCs w:val="20"/>
              </w:rPr>
              <w:t xml:space="preserve">Problem statement</w:t>
            </w:r>
          </w:p>
        </w:tc>
        <w:tc>
          <w:tcPr>
            <w:tcW w:type="dxa" w:w="5450"/>
            <w:shd w:fill="FFFFFF" w:val="clear"/>
            <w:tcMar>
              <w:top w:type="dxa" w:w="60"/>
              <w:left w:type="dxa" w:w="100"/>
              <w:bottom w:type="dxa" w:w="60"/>
              <w:right w:type="dxa" w:w="100"/>
            </w:tcMar>
            <w:vAlign w:val="center"/>
          </w:tcPr>
          <w:p>
            <w:r>
              <w:rPr>
                <w:b w:val="false"/>
                <w:bCs w:val="false"/>
                <w:sz w:val="20"/>
                <w:szCs w:val="20"/>
              </w:rPr>
              <w:t xml:space="preserve">Section 1 of this document</w:t>
            </w:r>
          </w:p>
        </w:tc>
      </w:tr>
      <w:tr>
        <w:tc>
          <w:tcPr>
            <w:tcW w:type="dxa" w:w="500"/>
            <w:shd w:fill="F2F2F2" w:val="clear"/>
            <w:tcMar>
              <w:top w:type="dxa" w:w="60"/>
              <w:left w:type="dxa" w:w="100"/>
              <w:bottom w:type="dxa" w:w="60"/>
              <w:right w:type="dxa" w:w="100"/>
            </w:tcMar>
            <w:vAlign w:val="center"/>
          </w:tcPr>
          <w:p>
            <w:r>
              <w:rPr>
                <w:b w:val="false"/>
                <w:bCs w:val="false"/>
                <w:sz w:val="20"/>
                <w:szCs w:val="20"/>
              </w:rPr>
              <w:t xml:space="preserve">10</w:t>
            </w:r>
          </w:p>
        </w:tc>
        <w:tc>
          <w:tcPr>
            <w:tcW w:type="dxa" w:w="3400"/>
            <w:shd w:fill="F2F2F2" w:val="clear"/>
            <w:tcMar>
              <w:top w:type="dxa" w:w="60"/>
              <w:left w:type="dxa" w:w="100"/>
              <w:bottom w:type="dxa" w:w="60"/>
              <w:right w:type="dxa" w:w="100"/>
            </w:tcMar>
            <w:vAlign w:val="center"/>
          </w:tcPr>
          <w:p>
            <w:r>
              <w:rPr>
                <w:b w:val="false"/>
                <w:bCs w:val="false"/>
                <w:sz w:val="20"/>
                <w:szCs w:val="20"/>
              </w:rPr>
              <w:t xml:space="preserve">Project objective</w:t>
            </w:r>
          </w:p>
        </w:tc>
        <w:tc>
          <w:tcPr>
            <w:tcW w:type="dxa" w:w="5450"/>
            <w:shd w:fill="F2F2F2" w:val="clear"/>
            <w:tcMar>
              <w:top w:type="dxa" w:w="60"/>
              <w:left w:type="dxa" w:w="100"/>
              <w:bottom w:type="dxa" w:w="60"/>
              <w:right w:type="dxa" w:w="100"/>
            </w:tcMar>
            <w:vAlign w:val="center"/>
          </w:tcPr>
          <w:p>
            <w:r>
              <w:rPr>
                <w:b w:val="false"/>
                <w:bCs w:val="false"/>
                <w:sz w:val="20"/>
                <w:szCs w:val="20"/>
              </w:rPr>
              <w:t xml:space="preserve">Section 2 of this document</w:t>
            </w:r>
          </w:p>
        </w:tc>
      </w:tr>
      <w:tr>
        <w:tc>
          <w:tcPr>
            <w:tcW w:type="dxa" w:w="500"/>
            <w:shd w:fill="FFFFFF" w:val="clear"/>
            <w:tcMar>
              <w:top w:type="dxa" w:w="60"/>
              <w:left w:type="dxa" w:w="100"/>
              <w:bottom w:type="dxa" w:w="60"/>
              <w:right w:type="dxa" w:w="100"/>
            </w:tcMar>
            <w:vAlign w:val="center"/>
          </w:tcPr>
          <w:p>
            <w:r>
              <w:rPr>
                <w:b w:val="false"/>
                <w:bCs w:val="false"/>
                <w:sz w:val="20"/>
                <w:szCs w:val="20"/>
              </w:rPr>
              <w:t xml:space="preserve">11</w:t>
            </w:r>
          </w:p>
        </w:tc>
        <w:tc>
          <w:tcPr>
            <w:tcW w:type="dxa" w:w="3400"/>
            <w:shd w:fill="FFFFFF" w:val="clear"/>
            <w:tcMar>
              <w:top w:type="dxa" w:w="60"/>
              <w:left w:type="dxa" w:w="100"/>
              <w:bottom w:type="dxa" w:w="60"/>
              <w:right w:type="dxa" w:w="100"/>
            </w:tcMar>
            <w:vAlign w:val="center"/>
          </w:tcPr>
          <w:p>
            <w:r>
              <w:rPr>
                <w:b w:val="false"/>
                <w:bCs w:val="false"/>
                <w:sz w:val="20"/>
                <w:szCs w:val="20"/>
              </w:rPr>
              <w:t xml:space="preserve">Project methodology</w:t>
            </w:r>
          </w:p>
        </w:tc>
        <w:tc>
          <w:tcPr>
            <w:tcW w:type="dxa" w:w="5450"/>
            <w:shd w:fill="FFFFFF" w:val="clear"/>
            <w:tcMar>
              <w:top w:type="dxa" w:w="60"/>
              <w:left w:type="dxa" w:w="100"/>
              <w:bottom w:type="dxa" w:w="60"/>
              <w:right w:type="dxa" w:w="100"/>
            </w:tcMar>
            <w:vAlign w:val="center"/>
          </w:tcPr>
          <w:p>
            <w:r>
              <w:rPr>
                <w:b w:val="false"/>
                <w:bCs w:val="false"/>
                <w:sz w:val="20"/>
                <w:szCs w:val="20"/>
              </w:rPr>
              <w:t xml:space="preserve">Section 3 of this document</w:t>
            </w:r>
          </w:p>
        </w:tc>
      </w:tr>
      <w:tr>
        <w:tc>
          <w:tcPr>
            <w:tcW w:type="dxa" w:w="500"/>
            <w:shd w:fill="F2F2F2" w:val="clear"/>
            <w:tcMar>
              <w:top w:type="dxa" w:w="60"/>
              <w:left w:type="dxa" w:w="100"/>
              <w:bottom w:type="dxa" w:w="60"/>
              <w:right w:type="dxa" w:w="100"/>
            </w:tcMar>
            <w:vAlign w:val="center"/>
          </w:tcPr>
          <w:p>
            <w:r>
              <w:rPr>
                <w:b w:val="false"/>
                <w:bCs w:val="false"/>
                <w:sz w:val="20"/>
                <w:szCs w:val="20"/>
              </w:rPr>
              <w:t xml:space="preserve">12</w:t>
            </w:r>
          </w:p>
        </w:tc>
        <w:tc>
          <w:tcPr>
            <w:tcW w:type="dxa" w:w="3400"/>
            <w:shd w:fill="F2F2F2" w:val="clear"/>
            <w:tcMar>
              <w:top w:type="dxa" w:w="60"/>
              <w:left w:type="dxa" w:w="100"/>
              <w:bottom w:type="dxa" w:w="60"/>
              <w:right w:type="dxa" w:w="100"/>
            </w:tcMar>
            <w:vAlign w:val="center"/>
          </w:tcPr>
          <w:p>
            <w:r>
              <w:rPr>
                <w:b w:val="false"/>
                <w:bCs w:val="false"/>
                <w:sz w:val="20"/>
                <w:szCs w:val="20"/>
              </w:rPr>
              <w:t xml:space="preserve">Resume / portfolio description</w:t>
            </w:r>
          </w:p>
        </w:tc>
        <w:tc>
          <w:tcPr>
            <w:tcW w:type="dxa" w:w="5450"/>
            <w:shd w:fill="F2F2F2" w:val="clear"/>
            <w:tcMar>
              <w:top w:type="dxa" w:w="60"/>
              <w:left w:type="dxa" w:w="100"/>
              <w:bottom w:type="dxa" w:w="60"/>
              <w:right w:type="dxa" w:w="100"/>
            </w:tcMar>
            <w:vAlign w:val="center"/>
          </w:tcPr>
          <w:p>
            <w:r>
              <w:rPr>
                <w:b w:val="false"/>
                <w:bCs w:val="false"/>
                <w:sz w:val="20"/>
                <w:szCs w:val="20"/>
              </w:rPr>
              <w:t xml:space="preserve">Section 8 of this document</w:t>
            </w:r>
          </w:p>
        </w:tc>
      </w:tr>
      <w:tr>
        <w:tc>
          <w:tcPr>
            <w:tcW w:type="dxa" w:w="500"/>
            <w:shd w:fill="FFFFFF" w:val="clear"/>
            <w:tcMar>
              <w:top w:type="dxa" w:w="60"/>
              <w:left w:type="dxa" w:w="100"/>
              <w:bottom w:type="dxa" w:w="60"/>
              <w:right w:type="dxa" w:w="100"/>
            </w:tcMar>
            <w:vAlign w:val="center"/>
          </w:tcPr>
          <w:p>
            <w:r>
              <w:rPr>
                <w:b w:val="false"/>
                <w:bCs w:val="false"/>
                <w:sz w:val="20"/>
                <w:szCs w:val="20"/>
              </w:rPr>
              <w:t xml:space="preserve">13</w:t>
            </w:r>
          </w:p>
        </w:tc>
        <w:tc>
          <w:tcPr>
            <w:tcW w:type="dxa" w:w="3400"/>
            <w:shd w:fill="FFFFFF" w:val="clear"/>
            <w:tcMar>
              <w:top w:type="dxa" w:w="60"/>
              <w:left w:type="dxa" w:w="100"/>
              <w:bottom w:type="dxa" w:w="60"/>
              <w:right w:type="dxa" w:w="100"/>
            </w:tcMar>
            <w:vAlign w:val="center"/>
          </w:tcPr>
          <w:p>
            <w:r>
              <w:rPr>
                <w:b w:val="false"/>
                <w:bCs w:val="false"/>
                <w:sz w:val="20"/>
                <w:szCs w:val="20"/>
              </w:rPr>
              <w:t xml:space="preserve">Viva / presentation explanation</w:t>
            </w:r>
          </w:p>
        </w:tc>
        <w:tc>
          <w:tcPr>
            <w:tcW w:type="dxa" w:w="5450"/>
            <w:shd w:fill="FFFFFF" w:val="clear"/>
            <w:tcMar>
              <w:top w:type="dxa" w:w="60"/>
              <w:left w:type="dxa" w:w="100"/>
              <w:bottom w:type="dxa" w:w="60"/>
              <w:right w:type="dxa" w:w="100"/>
            </w:tcMar>
            <w:vAlign w:val="center"/>
          </w:tcPr>
          <w:p>
            <w:r>
              <w:rPr>
                <w:b w:val="false"/>
                <w:bCs w:val="false"/>
                <w:sz w:val="20"/>
                <w:szCs w:val="20"/>
              </w:rPr>
              <w:t xml:space="preserve">Section 9 of this document</w:t>
            </w:r>
          </w:p>
        </w:tc>
      </w:tr>
    </w:tbl>
    <w:p>
      <w:pPr>
        <w:spacing w:after="160"/>
        <w:jc w:val="left"/>
      </w:pPr>
      <w:r>
        <w:rPr>
          <w:i/>
          <w:iCs/>
          <w:color w:val="595959"/>
        </w:rPr>
        <w:t xml:space="preserve">Note on Power BI: this environment can produce Excel files, CSV data, and documentation directly, but cannot run Power BI Desktop (a separate Windows/Microsoft 365 application) to generate a .pbix file. Section 5 gives an exact, complete build guide — every DAX formula, every page layout, and every slicer — so the dashboard can be reproduced in Power BI Desktop in under 90 minutes using the cleaned CSV provided.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50" w:before="300"/>
    </w:pPr>
    <w:rPr>
      <w:rFonts w:ascii="Calibri" w:cs="Calibri" w:eastAsia="Calibri" w:hAnsi="Calibri"/>
      <w:b/>
      <w:bCs/>
      <w:color w:val="1F3864"/>
      <w:sz w:val="32"/>
      <w:szCs w:val="32"/>
    </w:rPr>
  </w:style>
  <w:style w:type="paragraph" w:styleId="Heading2">
    <w:name w:val="Heading 2"/>
    <w:basedOn w:val="Normal"/>
    <w:next w:val="Normal"/>
    <w:qFormat/>
    <w:pPr>
      <w:spacing w:after="100" w:before="220"/>
    </w:pPr>
    <w:rPr>
      <w:rFonts w:ascii="Calibri" w:cs="Calibri" w:eastAsia="Calibri" w:hAnsi="Calibri"/>
      <w:b/>
      <w:bCs/>
      <w:color w:val="C99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2026-08-30T04:17:15.348Z</dcterms:created>
  <dcterms:modified xsi:type="dcterms:W3CDTF">2026-08-30T04:17:15.360Z</dcterms:modified>
</cp:coreProperties>
</file>

<file path=docProps/custom.xml><?xml version="1.0" encoding="utf-8"?>
<Properties xmlns="http://schemas.openxmlformats.org/officeDocument/2006/custom-properties" xmlns:vt="http://schemas.openxmlformats.org/officeDocument/2006/docPropsVTypes"/>
</file>