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b/>
          <w:bCs/>
          <w:color w:val="0B0D12"/>
          <w:sz w:val="56"/>
          <w:szCs w:val="56"/>
        </w:rPr>
        <w:t xml:space="preserve">Cloud Security Advisor</w:t>
      </w:r>
    </w:p>
    <w:p>
      <w:pPr>
        <w:spacing w:after="1200"/>
        <w:jc w:val="center"/>
      </w:pPr>
      <w:r>
        <w:rPr>
          <w:i/>
          <w:iCs/>
          <w:color w:val="F4A261"/>
          <w:sz w:val="40"/>
          <w:szCs w:val="40"/>
        </w:rPr>
        <w:t xml:space="preserve">Power BI Integration Guide</w:t>
      </w:r>
    </w:p>
    <w:p>
      <w:pPr>
        <w:spacing w:after="200"/>
        <w:jc w:val="center"/>
      </w:pPr>
      <w:r>
        <w:rPr>
          <w:color w:val="6B7280"/>
          <w:sz w:val="22"/>
          <w:szCs w:val="22"/>
        </w:rPr>
        <w:t xml:space="preserve">Sheet relationships  •  DAX measures  •  Page-by-page report layout</w:t>
      </w:r>
    </w:p>
    <w:p>
      <w:pPr>
        <w:spacing w:after="4000"/>
        <w:jc w:val="center"/>
      </w:pPr>
      <w:r>
        <w:rPr>
          <w:color w:val="6B7280"/>
          <w:sz w:val="20"/>
          <w:szCs w:val="20"/>
        </w:rPr>
        <w:t xml:space="preserve">Build a complete Power BI report from the dataset</w:t>
      </w:r>
    </w:p>
    <w:p>
      <w:pPr>
        <w:jc w:val="center"/>
      </w:pPr>
      <w:r>
        <w:rPr>
          <w:color w:val="9CA3AF"/>
          <w:sz w:val="20"/>
          <w:szCs w:val="20"/>
        </w:rPr>
        <w:t xml:space="preserve">April 2026  •  v1.0  •  Updated for 25-sheet dataset</w:t>
      </w:r>
    </w:p>
    <w:p>
      <w:r>
        <w:br w:type="page"/>
      </w:r>
    </w:p>
    <w:p>
      <w:pPr>
        <w:pStyle w:val="Heading1"/>
        <w:spacing w:after="120" w:before="0"/>
      </w:pPr>
      <w:r>
        <w:t xml:space="preserve">1. What this guide covers</w:t>
      </w:r>
    </w:p>
    <w:p>
      <w:pPr>
        <w:spacing w:after="60" w:before="60" w:line="280"/>
      </w:pPr>
      <w:r>
        <w:t xml:space="preserve">This document is the technical reference for someone building a Power BI report from the Cloud Security Advisor dataset (Cloud-Security-Advisor-Dataset.xlsx). It covers:</w: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Bdr>
          <w:left w:val="single" w:color="F59E0B" w:sz="18" w:space="8"/>
        </w:pBdr>
        <w:shd w:fill="FEF3C7" w:val="clear"/>
        <w:spacing w:after="120" w:before="120" w:line="280"/>
        <w:ind w:left="240"/>
      </w:pPr>
      <w:r>
        <w:rPr>
          <w:b/>
          <w:bCs/>
        </w:rPr>
        <w:t xml:space="preserve">⚠ Important: </w:t>
      </w:r>
      <w:r>
        <w:t xml:space="preserve">DAX measures in this document are written in correct DAX syntax following Microsoft documentation, but they have NOT been executed in Power BI Desktop. Always test each measure in your environment before deploying. Treat this guide as a technical specification, not a guaranteed-working drop-in.</w:t>
      </w:r>
    </w:p>
    <w:p>
      <w:pPr>
        <w:pStyle w:val="Heading2"/>
        <w:spacing w:after="120" w:before="280"/>
      </w:pPr>
      <w:r>
        <w:t xml:space="preserve">1.1 Prerequisites</w: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Heading2"/>
        <w:spacing w:after="120" w:before="280"/>
      </w:pPr>
      <w:r>
        <w:t xml:space="preserve">1.2 Why use Power BI for this dataset</w:t>
      </w:r>
    </w:p>
    <w:p>
      <w:pPr>
        <w:spacing w:after="60" w:before="60" w:line="280"/>
      </w:pPr>
      <w:r>
        <w:t xml:space="preserve">The HTML tool already has a Dashboard view that handles cross-filtering and the SecOps Dashboards view that handles query reference. So why also build in Power BI?</w:t>
      </w:r>
    </w:p>
    <w:p>
      <w:pPr>
        <w:pStyle w:val="ListParagraph"/>
        <w:numPr>
          <w:ilvl w:val="0"/>
          <w:numId w:val="2"/>
        </w:numPr>
        <w:spacing w:after="30" w:before="30" w:line="280"/>
      </w:pPr>
      <w:r>
        <w:rPr>
          <w:b/>
          <w:bCs/>
        </w:rPr>
        <w:t xml:space="preserve">Multi-user audiences</w:t>
      </w:r>
      <w:r>
        <w:t xml:space="preserve"> — Power BI lets you share an interactive report with executives, customers, or auditors who shouldn't open the HTML tool</w:t>
      </w:r>
    </w:p>
    <w:p>
      <w:pPr>
        <w:pStyle w:val="ListParagraph"/>
        <w:numPr>
          <w:ilvl w:val="0"/>
          <w:numId w:val="2"/>
        </w:numPr>
        <w:spacing w:after="30" w:before="30" w:line="280"/>
      </w:pPr>
      <w:r>
        <w:rPr>
          <w:b/>
          <w:bCs/>
        </w:rPr>
        <w:t xml:space="preserve">Scheduled refresh</w:t>
      </w:r>
      <w:r>
        <w:t xml:space="preserve"> — when you regularly update the XLSX, Power BI can auto-refresh published reports</w:t>
      </w:r>
    </w:p>
    <w:p>
      <w:pPr>
        <w:pStyle w:val="ListParagraph"/>
        <w:numPr>
          <w:ilvl w:val="0"/>
          <w:numId w:val="2"/>
        </w:numPr>
        <w:spacing w:after="30" w:before="30" w:line="280"/>
      </w:pPr>
      <w:r>
        <w:rPr>
          <w:b/>
          <w:bCs/>
        </w:rPr>
        <w:t xml:space="preserve">Drill-through and slicers at scale</w:t>
      </w:r>
      <w:r>
        <w:t xml:space="preserve"> — Power BI's native filtering scales better than browser-side JavaScript</w:t>
      </w:r>
    </w:p>
    <w:p>
      <w:pPr>
        <w:pStyle w:val="ListParagraph"/>
        <w:numPr>
          <w:ilvl w:val="0"/>
          <w:numId w:val="2"/>
        </w:numPr>
        <w:spacing w:after="30" w:before="30" w:line="280"/>
      </w:pPr>
      <w:r>
        <w:rPr>
          <w:b/>
          <w:bCs/>
        </w:rPr>
        <w:t xml:space="preserve">Compliance / governance</w:t>
      </w:r>
      <w:r>
        <w:t xml:space="preserve"> — Power BI integrates with row-level security, audit logging, and Microsoft 365 sharing controls</w:t>
      </w:r>
    </w:p>
    <w:p>
      <w:pPr>
        <w:pStyle w:val="ListParagraph"/>
        <w:numPr>
          <w:ilvl w:val="0"/>
          <w:numId w:val="2"/>
        </w:numPr>
        <w:spacing w:after="30" w:before="30" w:line="280"/>
      </w:pPr>
      <w:r>
        <w:rPr>
          <w:b/>
          <w:bCs/>
        </w:rPr>
        <w:t xml:space="preserve">Brand consistency</w:t>
      </w:r>
      <w:r>
        <w:t xml:space="preserve"> — match your firm's existing Power BI templates and color schemes</w:t>
      </w:r>
    </w:p>
    <w:p>
      <w:pPr>
        <w:pStyle w:val="Heading1"/>
        <w:pageBreakBefore/>
        <w:spacing w:after="120" w:before="360"/>
      </w:pPr>
      <w:r>
        <w:t xml:space="preserve">2. Sheet catalog</w:t>
      </w:r>
    </w:p>
    <w:p>
      <w:pPr>
        <w:spacing w:after="60" w:before="60" w:line="280"/>
      </w:pPr>
      <w:r>
        <w:t xml:space="preserve">The XLSX has 25 sheets. This section catalogs each one with its primary key (PK) and foreign keys (FK) for relationship modeling.</w:t>
      </w:r>
    </w:p>
    <w:p>
      <w:pPr>
        <w:pStyle w:val="Heading2"/>
        <w:spacing w:after="120" w:before="280"/>
      </w:pPr>
      <w:r>
        <w:t xml:space="preserve">2.1 Core dimension sheets</w:t>
      </w:r>
    </w:p>
    <w:p>
      <w:pPr>
        <w:spacing w:after="60" w:before="60" w:line="280"/>
      </w:pPr>
      <w:r>
        <w:t xml:space="preserve">These are the primary lookup tables — each row is a unique entity that other sheets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900"/>
        <w:gridCol w:w="5500"/>
      </w:tblGrid>
      <w:tr>
        <w:tc>
          <w:tcPr>
            <w:tcW w:type="dxa" w:w="15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Sheet</w:t>
            </w:r>
          </w:p>
        </w:tc>
        <w:tc>
          <w:tcPr>
            <w:tcW w:type="dxa" w:w="13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PK</w:t>
            </w:r>
          </w:p>
        </w:tc>
        <w:tc>
          <w:tcPr>
            <w:tcW w:type="dxa" w:w="9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Rows</w:t>
            </w:r>
          </w:p>
        </w:tc>
        <w:tc>
          <w:tcPr>
            <w:tcW w:type="dxa" w:w="55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Description</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components</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133</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The 133 cloud services across AWS/Azure/GCP. Every other sheet ultimately joins back to this.</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mitre_attack</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TechniqueID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86+</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MITRE ATT&amp;CK technique reference (T1078, T1110, etc.)</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threat_actors</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ActorID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16</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Threat actor profiles (APT29, Lapsus$, etc.)</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public_breaches</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BreachID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12</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Public breach reference (Capital One, SolarWinds, etc.)</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attack_scenarios</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ScenarioID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39</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Named multi-stage attack scenarios</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stride_threats</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StrideID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6</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STRIDE threat categories</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aliases</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AliasID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varies</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Alternative names for components</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log_sources</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SourceID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30</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Log source taxonomy: CloudTrail, Activity Log, Cloud Audit Logs, etc.</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secops_dashboards</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DashboardID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13</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SOC dashboards: User Threats, Network, Container Security, etc.</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remediation_playbooks</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PlaybookID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varies</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IR playbook templates</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compliance_retention</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RetentionID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varies</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Log retention requirements per framework</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tool_catalog</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ToolID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varies</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Distinct defense tools (deduplicated from defense_tools)</w:t>
            </w:r>
          </w:p>
        </w:tc>
      </w:tr>
      <w:tr>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tool_enrichment</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ToolID</w:t>
            </w:r>
          </w:p>
        </w:tc>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19</w:t>
            </w:r>
          </w:p>
        </w:tc>
        <w:tc>
          <w:tcPr>
            <w:tcW w:type="dxa" w:w="5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Deeply enriched tool profiles (subset of tool_catalog)</w:t>
            </w:r>
          </w:p>
        </w:tc>
      </w:tr>
    </w:tbl>
    <w:p>
      <w:pPr>
        <w:pStyle w:val="Heading2"/>
        <w:spacing w:after="120" w:before="280"/>
      </w:pPr>
      <w:r>
        <w:t xml:space="preserve">2.2 Bridge sheets (many-to-many relationships)</w:t>
      </w:r>
    </w:p>
    <w:p>
      <w:pPr>
        <w:spacing w:after="60" w:before="60" w:line="280"/>
      </w:pPr>
      <w:r>
        <w:t xml:space="preserve">These join two dimensions and represent many-to-many relationships: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800"/>
        <w:gridCol w:w="1700"/>
        <w:gridCol w:w="1800"/>
      </w:tblGrid>
      <w:tr>
        <w:tc>
          <w:tcPr>
            <w:tcW w:type="dxa" w:w="19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Sheet</w:t>
            </w:r>
          </w:p>
        </w:tc>
        <w:tc>
          <w:tcPr>
            <w:tcW w:type="dxa" w:w="20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PK</w:t>
            </w:r>
          </w:p>
        </w:tc>
        <w:tc>
          <w:tcPr>
            <w:tcW w:type="dxa" w:w="8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Rows</w:t>
            </w:r>
          </w:p>
        </w:tc>
        <w:tc>
          <w:tcPr>
            <w:tcW w:type="dxa" w:w="17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FK1</w:t>
            </w:r>
          </w:p>
        </w:tc>
        <w:tc>
          <w:tcPr>
            <w:tcW w:type="dxa" w:w="18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FK2</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component_mitre</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 TechniqueID)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833</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TechniqueID</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component_stride</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 StrideID)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varies</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StrideID</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scenario_techniques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(ScenarioID, TechniqueID)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varies</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ScenarioID</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TechniqueID</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actor_scenarios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(ActorID, ScenarioID)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varies</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ActorID</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ScenarioID</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breach_components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(BreachID, ComponentID)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varies</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BreachID</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compliance_mappings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MappingID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1,876</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(Framework as text)</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detection_playbook</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(DetectionID, PlaybookID)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385</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DetectionID</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PlaybookID</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cross_cloud_map</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MapID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varies</w:t>
            </w:r>
          </w:p>
        </w:tc>
        <w:tc>
          <w:tcPr>
            <w:tcW w:type="dxa" w:w="1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w:t>
            </w:r>
          </w:p>
        </w:tc>
      </w:tr>
    </w:tbl>
    <w:p>
      <w:pPr>
        <w:pStyle w:val="Heading2"/>
        <w:spacing w:after="120" w:before="280"/>
      </w:pPr>
      <w:r>
        <w:t xml:space="preserve">2.3 Fact sheets (events, detections, tools, queries)</w:t>
      </w:r>
    </w:p>
    <w:p>
      <w:pPr>
        <w:spacing w:after="60" w:before="60" w:line="280"/>
      </w:pPr>
      <w:r>
        <w:t xml:space="preserve">These are the high-volume sheets where each row is an event/instance: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00"/>
        <w:gridCol w:w="3400"/>
      </w:tblGrid>
      <w:tr>
        <w:tc>
          <w:tcPr>
            <w:tcW w:type="dxa" w:w="22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Sheet</w:t>
            </w:r>
          </w:p>
        </w:tc>
        <w:tc>
          <w:tcPr>
            <w:tcW w:type="dxa" w:w="18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PK</w:t>
            </w:r>
          </w:p>
        </w:tc>
        <w:tc>
          <w:tcPr>
            <w:tcW w:type="dxa" w:w="8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Rows</w:t>
            </w:r>
          </w:p>
        </w:tc>
        <w:tc>
          <w:tcPr>
            <w:tcW w:type="dxa" w:w="34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Joins to</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detections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DetectionID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403</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defense_tools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 ToolName)</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1,953</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 ToolID</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log_events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EventID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644</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ComponentID</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secops_visualizations</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VizID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63</w:t>
            </w:r>
          </w:p>
        </w:tc>
        <w:tc>
          <w:tcPr>
            <w:tcW w:type="dxa" w:w="3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DashboardID, ComponentID(s)</w:t>
            </w:r>
          </w:p>
        </w:tc>
      </w:tr>
    </w:tbl>
    <w:p>
      <w:pPr>
        <w:pBdr>
          <w:left w:val="single" w:color="F4A261" w:sz="18" w:space="8"/>
        </w:pBdr>
        <w:shd w:fill="FFF8F0" w:val="clear"/>
        <w:spacing w:after="120" w:before="120" w:line="280"/>
        <w:ind w:left="240"/>
      </w:pPr>
      <w:r>
        <w:rPr>
          <w:b/>
          <w:bCs/>
        </w:rPr>
        <w:t xml:space="preserve">New in v1.0: </w:t>
      </w:r>
      <w:r>
        <w:t xml:space="preserve">log_events now has Meaningfulness (MUST/Should/Nice-to-have), Why It Matters, Typical Volume, Confidence, and Sample JSON Payload (for the 142 MUST events). secops_visualizations has KQL Query, KQL Tables, KQL Confidence, YARA-L Query, YARA-L Tables, YARA-L Confidence.</w:t>
      </w:r>
    </w:p>
    <w:p>
      <w:pPr>
        <w:pStyle w:val="Heading1"/>
        <w:pageBreakBefore/>
        <w:spacing w:after="120" w:before="360"/>
      </w:pPr>
      <w:r>
        <w:t xml:space="preserve">3. Recommended star schema</w:t>
      </w:r>
    </w:p>
    <w:p>
      <w:pPr>
        <w:spacing w:after="60" w:before="60" w:line="280"/>
      </w:pPr>
      <w:r>
        <w:t xml:space="preserve">Power BI performs best with a star schema: fact tables at the center, dimension tables radiating out. The Cloud Security Advisor dataset has multiple fact tables (snowflake-ish), but follows star principles per fact.</w:t>
      </w:r>
    </w:p>
    <w:p>
      <w:pPr>
        <w:pStyle w:val="Heading2"/>
        <w:spacing w:after="120" w:before="280"/>
      </w:pPr>
      <w:r>
        <w:t xml:space="preserve">3.1 Fact tables and their dimensions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Fact table</w:t>
            </w:r>
          </w:p>
        </w:tc>
        <w:tc>
          <w:tcPr>
            <w:tcW w:type="dxa" w:w="6300"/>
            <w:tcBorders>
              <w:top w:val="single" w:color="CCCCCC" w:sz="4"/>
              <w:left w:val="single" w:color="CCCCCC" w:sz="4"/>
              <w:bottom w:val="single" w:color="CCCCCC" w:sz="4"/>
              <w:right w:val="single" w:color="CCCCCC" w:sz="4"/>
            </w:tcBorders>
            <w:shd w:fill="1F2937" w:val="clear"/>
            <w:tcMar>
              <w:top w:type="dxa" w:w="60"/>
              <w:left w:type="dxa" w:w="100"/>
              <w:bottom w:type="dxa" w:w="60"/>
              <w:right w:type="dxa" w:w="100"/>
            </w:tcMar>
          </w:tcPr>
          <w:p>
            <w:r>
              <w:rPr>
                <w:b/>
                <w:bCs/>
                <w:color w:val="FFFFFF"/>
                <w:sz w:val="18"/>
                <w:szCs w:val="18"/>
              </w:rPr>
              <w:t xml:space="preserve">Primary dimensions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detections</w:t>
            </w:r>
          </w:p>
        </w:tc>
        <w:tc>
          <w:tcPr>
            <w:tcW w:type="dxa" w:w="6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components, components→mitre_attack (via component_mitre)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defense_tools</w:t>
            </w:r>
          </w:p>
        </w:tc>
        <w:tc>
          <w:tcPr>
            <w:tcW w:type="dxa" w:w="6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components, tool_catalog</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log_events</w:t>
            </w:r>
          </w:p>
        </w:tc>
        <w:tc>
          <w:tcPr>
            <w:tcW w:type="dxa" w:w="6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components, log_sources (logical join via Cloud Provider + Component Name)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secops_visualizations</w:t>
            </w:r>
          </w:p>
        </w:tc>
        <w:tc>
          <w:tcPr>
            <w:tcW w:type="dxa" w:w="6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secops_dashboards, components (multi-valued — see section 4.4)</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compliance_mappings</w:t>
            </w:r>
          </w:p>
        </w:tc>
        <w:tc>
          <w:tcPr>
            <w:tcW w:type="dxa" w:w="6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component_mitre</w:t>
            </w:r>
          </w:p>
        </w:tc>
        <w:tc>
          <w:tcPr>
            <w:tcW w:type="dxa" w:w="6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components, mitre_attack</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breach_components</w:t>
            </w:r>
          </w:p>
        </w:tc>
        <w:tc>
          <w:tcPr>
            <w:tcW w:type="dxa" w:w="6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public_breaches, components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actor_scenarios</w:t>
            </w:r>
          </w:p>
        </w:tc>
        <w:tc>
          <w:tcPr>
            <w:tcW w:type="dxa" w:w="6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18"/>
                <w:szCs w:val="18"/>
              </w:rPr>
              <w:t xml:space="preserve">threat_actors, attack_scenarios</w:t>
            </w:r>
          </w:p>
        </w:tc>
      </w:tr>
    </w:tbl>
    <w:p>
      <w:pPr>
        <w:pStyle w:val="Heading2"/>
        <w:spacing w:after="120" w:before="280"/>
      </w:pPr>
      <w:r>
        <w:t xml:space="preserve">3.2 Centerpiece dimension</w:t>
      </w:r>
    </w:p>
    <w:p>
      <w:pPr>
        <w:spacing w:after="60" w:before="60" w:line="280"/>
      </w:pPr>
      <w:r>
        <w:t xml:space="preserve">components is the centerpiece dimension that nearly all fact tables join back to. Make sure components has these columns clean before building relationships:</w:t>
      </w:r>
    </w:p>
    <w:p>
      <w:pPr>
        <w:pStyle w:val="ListParagraph"/>
        <w:numPr>
          <w:ilvl w:val="0"/>
          <w:numId w:val="2"/>
        </w:numPr>
        <w:spacing w:after="30" w:before="30" w:line="280"/>
      </w:pPr>
      <w:r>
        <w:rPr>
          <w:b/>
          <w:bCs/>
        </w:rPr>
        <w:t xml:space="preserve">ComponentID</w:t>
      </w:r>
      <w:r>
        <w:t xml:space="preserve"> (integer, unique) — the primary key</w:t>
      </w:r>
    </w:p>
    <w:p>
      <w:pPr>
        <w:pStyle w:val="ListParagraph"/>
        <w:numPr>
          <w:ilvl w:val="0"/>
          <w:numId w:val="2"/>
        </w:numPr>
        <w:spacing w:after="30" w:before="30" w:line="280"/>
      </w:pPr>
      <w:r>
        <w:rPr>
          <w:b/>
          <w:bCs/>
        </w:rPr>
        <w:t xml:space="preserve">Component Name</w:t>
      </w:r>
      <w:r>
        <w:t xml:space="preserve"> (string)</w:t>
      </w:r>
    </w:p>
    <w:p>
      <w:pPr>
        <w:pStyle w:val="ListParagraph"/>
        <w:numPr>
          <w:ilvl w:val="0"/>
          <w:numId w:val="2"/>
        </w:numPr>
        <w:spacing w:after="30" w:before="30" w:line="280"/>
      </w:pPr>
      <w:r>
        <w:rPr>
          <w:b/>
          <w:bCs/>
        </w:rPr>
        <w:t xml:space="preserve">Cloud Provider</w:t>
      </w:r>
      <w:r>
        <w:t xml:space="preserve"> (AWS / Azure / GCP)</w:t>
      </w:r>
    </w:p>
    <w:p>
      <w:pPr>
        <w:pStyle w:val="ListParagraph"/>
        <w:numPr>
          <w:ilvl w:val="0"/>
          <w:numId w:val="2"/>
        </w:numPr>
        <w:spacing w:after="30" w:before="30" w:line="280"/>
      </w:pPr>
      <w:r>
        <w:rPr>
          <w:b/>
          <w:bCs/>
        </w:rPr>
        <w:t xml:space="preserve">Category</w:t>
      </w:r>
      <w:r>
        <w:t xml:space="preserve"> (Compute / Identity / Storage / etc.)</w:t>
      </w:r>
    </w:p>
    <w:p>
      <w:pPr>
        <w:pStyle w:val="ListParagraph"/>
        <w:numPr>
          <w:ilvl w:val="0"/>
          <w:numId w:val="2"/>
        </w:numPr>
        <w:spacing w:after="30" w:before="30" w:line="280"/>
      </w:pPr>
      <w:r>
        <w:rPr>
          <w:b/>
          <w:bCs/>
        </w:rPr>
        <w:t xml:space="preserve">Defense Layer</w:t>
      </w:r>
      <w:r>
        <w:t xml:space="preserve"> (Identity / Network / OS / Application / Data / Detection)</w:t>
      </w:r>
    </w:p>
    <w:p>
      <w:pPr>
        <w:pStyle w:val="ListParagraph"/>
        <w:numPr>
          <w:ilvl w:val="0"/>
          <w:numId w:val="2"/>
        </w:numPr>
        <w:spacing w:after="30" w:before="30" w:line="280"/>
      </w:pPr>
      <w:r>
        <w:rPr>
          <w:b/>
          <w:bCs/>
        </w:rPr>
        <w:t xml:space="preserve">Risk Score</w:t>
      </w:r>
      <w:r>
        <w:t xml:space="preserve"> (1-10)</w:t>
      </w:r>
    </w:p>
    <w:p>
      <w:pPr>
        <w:pStyle w:val="ListParagraph"/>
        <w:numPr>
          <w:ilvl w:val="0"/>
          <w:numId w:val="2"/>
        </w:numPr>
        <w:spacing w:after="30" w:before="30" w:line="280"/>
      </w:pPr>
      <w:r>
        <w:rPr>
          <w:b/>
          <w:bCs/>
        </w:rPr>
        <w:t xml:space="preserve">Risk Tier</w:t>
      </w:r>
      <w:r>
        <w:t xml:space="preserve"> (Critical / High / Medium / Low — derived from Risk Score)</w:t>
      </w:r>
    </w:p>
    <w:p>
      <w:pPr>
        <w:pStyle w:val="Heading1"/>
        <w:pageBreakBefore/>
        <w:spacing w:after="120" w:before="360"/>
      </w:pPr>
      <w:r>
        <w:t xml:space="preserve">4. Relationships to define in Power BI</w:t>
      </w:r>
    </w:p>
    <w:p>
      <w:pPr>
        <w:spacing w:after="60" w:before="60" w:line="280"/>
      </w:pPr>
      <w:r>
        <w:t xml:space="preserve">After importing all 25 sheets, create these relationships in the Model view. Format: source.column → target.column (cardinality, direction).</w:t>
      </w:r>
    </w:p>
    <w:p>
      <w:pPr>
        <w:pStyle w:val="Heading2"/>
        <w:spacing w:after="120" w:before="280"/>
      </w:pPr>
      <w:r>
        <w:t xml:space="preserve">4.1 components-centric relationships (one-to-many from components)</w:t>
      </w:r>
    </w:p>
    <w:p>
      <w:pPr>
        <w:pStyle w:val="ListParagraph"/>
        <w:numPr>
          <w:ilvl w:val="0"/>
          <w:numId w:val="2"/>
        </w:numPr>
        <w:spacing w:after="30" w:before="30" w:line="280"/>
      </w:pPr>
      <w:r>
        <w:rPr>
          <w:rFonts w:ascii="Consolas" w:cs="Consolas" w:eastAsia="Consolas" w:hAnsi="Consolas"/>
          <w:sz w:val="18"/>
          <w:szCs w:val="18"/>
        </w:rPr>
        <w:t xml:space="preserve">detections.ComponentID</w:t>
      </w:r>
      <w:r>
        <w:t xml:space="preserve"> → </w:t>
      </w:r>
      <w:r>
        <w:rPr>
          <w:rFonts w:ascii="Consolas" w:cs="Consolas" w:eastAsia="Consolas" w:hAnsi="Consolas"/>
          <w:sz w:val="18"/>
          <w:szCs w:val="18"/>
        </w:rPr>
        <w:t xml:space="preserve">components.ComponentID</w:t>
      </w:r>
      <w:r>
        <w:t xml:space="preserve"> (many-to-one, single direction)</w:t>
      </w:r>
    </w:p>
    <w:p>
      <w:pPr>
        <w:pStyle w:val="ListParagraph"/>
        <w:numPr>
          <w:ilvl w:val="0"/>
          <w:numId w:val="2"/>
        </w:numPr>
        <w:spacing w:after="30" w:before="30" w:line="280"/>
      </w:pPr>
      <w:r>
        <w:rPr>
          <w:rFonts w:ascii="Consolas" w:cs="Consolas" w:eastAsia="Consolas" w:hAnsi="Consolas"/>
          <w:sz w:val="18"/>
          <w:szCs w:val="18"/>
        </w:rPr>
        <w:t xml:space="preserve">defense_tools.ComponentID</w:t>
      </w:r>
      <w:r>
        <w:t xml:space="preserve"> → </w:t>
      </w:r>
      <w:r>
        <w:rPr>
          <w:rFonts w:ascii="Consolas" w:cs="Consolas" w:eastAsia="Consolas" w:hAnsi="Consolas"/>
          <w:sz w:val="18"/>
          <w:szCs w:val="18"/>
        </w:rPr>
        <w:t xml:space="preserve">components.ComponentID</w:t>
      </w:r>
      <w:r>
        <w:t xml:space="preserve"> (many-to-one, single direction)</w:t>
      </w:r>
    </w:p>
    <w:p>
      <w:pPr>
        <w:pStyle w:val="ListParagraph"/>
        <w:numPr>
          <w:ilvl w:val="0"/>
          <w:numId w:val="2"/>
        </w:numPr>
        <w:spacing w:after="30" w:before="30" w:line="280"/>
      </w:pPr>
      <w:r>
        <w:rPr>
          <w:rFonts w:ascii="Consolas" w:cs="Consolas" w:eastAsia="Consolas" w:hAnsi="Consolas"/>
          <w:sz w:val="18"/>
          <w:szCs w:val="18"/>
        </w:rPr>
        <w:t xml:space="preserve">log_events.ComponentID</w:t>
      </w:r>
      <w:r>
        <w:t xml:space="preserve"> → </w:t>
      </w:r>
      <w:r>
        <w:rPr>
          <w:rFonts w:ascii="Consolas" w:cs="Consolas" w:eastAsia="Consolas" w:hAnsi="Consolas"/>
          <w:sz w:val="18"/>
          <w:szCs w:val="18"/>
        </w:rPr>
        <w:t xml:space="preserve">components.ComponentID</w:t>
      </w:r>
      <w:r>
        <w:t xml:space="preserve"> (many-to-one, single direction)</w:t>
      </w:r>
    </w:p>
    <w:p>
      <w:pPr>
        <w:pStyle w:val="ListParagraph"/>
        <w:numPr>
          <w:ilvl w:val="0"/>
          <w:numId w:val="2"/>
        </w:numPr>
        <w:spacing w:after="30" w:before="30" w:line="280"/>
      </w:pPr>
      <w:r>
        <w:rPr>
          <w:rFonts w:ascii="Consolas" w:cs="Consolas" w:eastAsia="Consolas" w:hAnsi="Consolas"/>
          <w:sz w:val="18"/>
          <w:szCs w:val="18"/>
        </w:rPr>
        <w:t xml:space="preserve">compliance_mappings.ComponentID</w:t>
      </w:r>
      <w:r>
        <w:t xml:space="preserve"> → </w:t>
      </w:r>
      <w:r>
        <w:rPr>
          <w:rFonts w:ascii="Consolas" w:cs="Consolas" w:eastAsia="Consolas" w:hAnsi="Consolas"/>
          <w:sz w:val="18"/>
          <w:szCs w:val="18"/>
        </w:rPr>
        <w:t xml:space="preserve">components.ComponentID</w:t>
      </w:r>
      <w:r>
        <w:t xml:space="preserve"> (many-to-one)</w:t>
      </w:r>
    </w:p>
    <w:p>
      <w:pPr>
        <w:pStyle w:val="ListParagraph"/>
        <w:numPr>
          <w:ilvl w:val="0"/>
          <w:numId w:val="2"/>
        </w:numPr>
        <w:spacing w:after="30" w:before="30" w:line="280"/>
      </w:pPr>
      <w:r>
        <w:rPr>
          <w:rFonts w:ascii="Consolas" w:cs="Consolas" w:eastAsia="Consolas" w:hAnsi="Consolas"/>
          <w:sz w:val="18"/>
          <w:szCs w:val="18"/>
        </w:rPr>
        <w:t xml:space="preserve">component_mitre.ComponentID</w:t>
      </w:r>
      <w:r>
        <w:t xml:space="preserve"> → </w:t>
      </w:r>
      <w:r>
        <w:rPr>
          <w:rFonts w:ascii="Consolas" w:cs="Consolas" w:eastAsia="Consolas" w:hAnsi="Consolas"/>
          <w:sz w:val="18"/>
          <w:szCs w:val="18"/>
        </w:rPr>
        <w:t xml:space="preserve">components.ComponentID</w:t>
      </w:r>
      <w:r>
        <w:t xml:space="preserve"> (many-to-one)</w:t>
      </w:r>
    </w:p>
    <w:p>
      <w:pPr>
        <w:pStyle w:val="ListParagraph"/>
        <w:numPr>
          <w:ilvl w:val="0"/>
          <w:numId w:val="2"/>
        </w:numPr>
        <w:spacing w:after="30" w:before="30" w:line="280"/>
      </w:pPr>
      <w:r>
        <w:rPr>
          <w:rFonts w:ascii="Consolas" w:cs="Consolas" w:eastAsia="Consolas" w:hAnsi="Consolas"/>
          <w:sz w:val="18"/>
          <w:szCs w:val="18"/>
        </w:rPr>
        <w:t xml:space="preserve">component_stride.ComponentID</w:t>
      </w:r>
      <w:r>
        <w:t xml:space="preserve"> → </w:t>
      </w:r>
      <w:r>
        <w:rPr>
          <w:rFonts w:ascii="Consolas" w:cs="Consolas" w:eastAsia="Consolas" w:hAnsi="Consolas"/>
          <w:sz w:val="18"/>
          <w:szCs w:val="18"/>
        </w:rPr>
        <w:t xml:space="preserve">components.ComponentID</w:t>
      </w:r>
      <w:r>
        <w:t xml:space="preserve"> (many-to-one)</w:t>
      </w:r>
    </w:p>
    <w:p>
      <w:pPr>
        <w:pStyle w:val="ListParagraph"/>
        <w:numPr>
          <w:ilvl w:val="0"/>
          <w:numId w:val="2"/>
        </w:numPr>
        <w:spacing w:after="30" w:before="30" w:line="280"/>
      </w:pPr>
      <w:r>
        <w:rPr>
          <w:rFonts w:ascii="Consolas" w:cs="Consolas" w:eastAsia="Consolas" w:hAnsi="Consolas"/>
          <w:sz w:val="18"/>
          <w:szCs w:val="18"/>
        </w:rPr>
        <w:t xml:space="preserve">breach_components.ComponentID</w:t>
      </w:r>
      <w:r>
        <w:t xml:space="preserve"> → </w:t>
      </w:r>
      <w:r>
        <w:rPr>
          <w:rFonts w:ascii="Consolas" w:cs="Consolas" w:eastAsia="Consolas" w:hAnsi="Consolas"/>
          <w:sz w:val="18"/>
          <w:szCs w:val="18"/>
        </w:rPr>
        <w:t xml:space="preserve">components.ComponentID</w:t>
      </w:r>
      <w:r>
        <w:t xml:space="preserve"> (many-to-one)</w:t>
      </w:r>
    </w:p>
    <w:p>
      <w:pPr>
        <w:pStyle w:val="ListParagraph"/>
        <w:numPr>
          <w:ilvl w:val="0"/>
          <w:numId w:val="2"/>
        </w:numPr>
        <w:spacing w:after="30" w:before="30" w:line="280"/>
      </w:pPr>
      <w:r>
        <w:rPr>
          <w:rFonts w:ascii="Consolas" w:cs="Consolas" w:eastAsia="Consolas" w:hAnsi="Consolas"/>
          <w:sz w:val="18"/>
          <w:szCs w:val="18"/>
        </w:rPr>
        <w:t xml:space="preserve">aliases.ComponentID</w:t>
      </w:r>
      <w:r>
        <w:t xml:space="preserve"> → </w:t>
      </w:r>
      <w:r>
        <w:rPr>
          <w:rFonts w:ascii="Consolas" w:cs="Consolas" w:eastAsia="Consolas" w:hAnsi="Consolas"/>
          <w:sz w:val="18"/>
          <w:szCs w:val="18"/>
        </w:rPr>
        <w:t xml:space="preserve">components.ComponentID</w:t>
      </w:r>
      <w:r>
        <w:t xml:space="preserve"> (many-to-one)</w:t>
      </w:r>
    </w:p>
    <w:p>
      <w:pPr>
        <w:pStyle w:val="Heading2"/>
        <w:spacing w:after="120" w:before="280"/>
      </w:pPr>
      <w:r>
        <w:t xml:space="preserve">4.2 MITRE relationships</w:t>
      </w:r>
    </w:p>
    <w:p>
      <w:pPr>
        <w:pStyle w:val="ListParagraph"/>
        <w:numPr>
          <w:ilvl w:val="0"/>
          <w:numId w:val="2"/>
        </w:numPr>
        <w:spacing w:after="30" w:before="30" w:line="280"/>
      </w:pPr>
      <w:r>
        <w:rPr>
          <w:rFonts w:ascii="Consolas" w:cs="Consolas" w:eastAsia="Consolas" w:hAnsi="Consolas"/>
          <w:sz w:val="18"/>
          <w:szCs w:val="18"/>
        </w:rPr>
        <w:t xml:space="preserve">component_mitre.TechniqueID</w:t>
      </w:r>
      <w:r>
        <w:t xml:space="preserve"> → </w:t>
      </w:r>
      <w:r>
        <w:rPr>
          <w:rFonts w:ascii="Consolas" w:cs="Consolas" w:eastAsia="Consolas" w:hAnsi="Consolas"/>
          <w:sz w:val="18"/>
          <w:szCs w:val="18"/>
        </w:rPr>
        <w:t xml:space="preserve">mitre_attack.TechniqueID</w:t>
      </w:r>
      <w:r>
        <w:t xml:space="preserve"> (many-to-one)</w:t>
      </w:r>
    </w:p>
    <w:p>
      <w:pPr>
        <w:pStyle w:val="ListParagraph"/>
        <w:numPr>
          <w:ilvl w:val="0"/>
          <w:numId w:val="2"/>
        </w:numPr>
        <w:spacing w:after="30" w:before="30" w:line="280"/>
      </w:pPr>
      <w:r>
        <w:rPr>
          <w:rFonts w:ascii="Consolas" w:cs="Consolas" w:eastAsia="Consolas" w:hAnsi="Consolas"/>
          <w:sz w:val="18"/>
          <w:szCs w:val="18"/>
        </w:rPr>
        <w:t xml:space="preserve">scenario_techniques.TechniqueID</w:t>
      </w:r>
      <w:r>
        <w:t xml:space="preserve"> → </w:t>
      </w:r>
      <w:r>
        <w:rPr>
          <w:rFonts w:ascii="Consolas" w:cs="Consolas" w:eastAsia="Consolas" w:hAnsi="Consolas"/>
          <w:sz w:val="18"/>
          <w:szCs w:val="18"/>
        </w:rPr>
        <w:t xml:space="preserve">mitre_attack.TechniqueID</w:t>
      </w:r>
      <w:r>
        <w:t xml:space="preserve"> (many-to-one)</w:t>
      </w:r>
    </w:p>
    <w:p>
      <w:pPr>
        <w:pStyle w:val="Heading2"/>
        <w:spacing w:after="120" w:before="280"/>
      </w:pPr>
      <w:r>
        <w:t xml:space="preserve">4.3 Threat actor / breach / scenario relationships</w:t>
      </w:r>
    </w:p>
    <w:p>
      <w:pPr>
        <w:pStyle w:val="ListParagraph"/>
        <w:numPr>
          <w:ilvl w:val="0"/>
          <w:numId w:val="2"/>
        </w:numPr>
        <w:spacing w:after="30" w:before="30" w:line="280"/>
      </w:pPr>
      <w:r>
        <w:rPr>
          <w:rFonts w:ascii="Consolas" w:cs="Consolas" w:eastAsia="Consolas" w:hAnsi="Consolas"/>
          <w:sz w:val="18"/>
          <w:szCs w:val="18"/>
        </w:rPr>
        <w:t xml:space="preserve">breach_components.BreachID</w:t>
      </w:r>
      <w:r>
        <w:t xml:space="preserve"> → </w:t>
      </w:r>
      <w:r>
        <w:rPr>
          <w:rFonts w:ascii="Consolas" w:cs="Consolas" w:eastAsia="Consolas" w:hAnsi="Consolas"/>
          <w:sz w:val="18"/>
          <w:szCs w:val="18"/>
        </w:rPr>
        <w:t xml:space="preserve">public_breaches.BreachID</w:t>
      </w:r>
      <w:r>
        <w:t xml:space="preserve"> (many-to-one)</w:t>
      </w:r>
    </w:p>
    <w:p>
      <w:pPr>
        <w:pStyle w:val="ListParagraph"/>
        <w:numPr>
          <w:ilvl w:val="0"/>
          <w:numId w:val="2"/>
        </w:numPr>
        <w:spacing w:after="30" w:before="30" w:line="280"/>
      </w:pPr>
      <w:r>
        <w:rPr>
          <w:rFonts w:ascii="Consolas" w:cs="Consolas" w:eastAsia="Consolas" w:hAnsi="Consolas"/>
          <w:sz w:val="18"/>
          <w:szCs w:val="18"/>
        </w:rPr>
        <w:t xml:space="preserve">actor_scenarios.ActorID</w:t>
      </w:r>
      <w:r>
        <w:t xml:space="preserve"> → </w:t>
      </w:r>
      <w:r>
        <w:rPr>
          <w:rFonts w:ascii="Consolas" w:cs="Consolas" w:eastAsia="Consolas" w:hAnsi="Consolas"/>
          <w:sz w:val="18"/>
          <w:szCs w:val="18"/>
        </w:rPr>
        <w:t xml:space="preserve">threat_actors.ActorID</w:t>
      </w:r>
      <w:r>
        <w:t xml:space="preserve"> (many-to-one)</w:t>
      </w:r>
    </w:p>
    <w:p>
      <w:pPr>
        <w:pStyle w:val="ListParagraph"/>
        <w:numPr>
          <w:ilvl w:val="0"/>
          <w:numId w:val="2"/>
        </w:numPr>
        <w:spacing w:after="30" w:before="30" w:line="280"/>
      </w:pPr>
      <w:r>
        <w:rPr>
          <w:rFonts w:ascii="Consolas" w:cs="Consolas" w:eastAsia="Consolas" w:hAnsi="Consolas"/>
          <w:sz w:val="18"/>
          <w:szCs w:val="18"/>
        </w:rPr>
        <w:t xml:space="preserve">actor_scenarios.ScenarioID</w:t>
      </w:r>
      <w:r>
        <w:t xml:space="preserve"> → </w:t>
      </w:r>
      <w:r>
        <w:rPr>
          <w:rFonts w:ascii="Consolas" w:cs="Consolas" w:eastAsia="Consolas" w:hAnsi="Consolas"/>
          <w:sz w:val="18"/>
          <w:szCs w:val="18"/>
        </w:rPr>
        <w:t xml:space="preserve">attack_scenarios.ScenarioID</w:t>
      </w:r>
      <w:r>
        <w:t xml:space="preserve"> (many-to-one)</w:t>
      </w:r>
    </w:p>
    <w:p>
      <w:pPr>
        <w:pStyle w:val="ListParagraph"/>
        <w:numPr>
          <w:ilvl w:val="0"/>
          <w:numId w:val="2"/>
        </w:numPr>
        <w:spacing w:after="30" w:before="30" w:line="280"/>
      </w:pPr>
      <w:r>
        <w:rPr>
          <w:rFonts w:ascii="Consolas" w:cs="Consolas" w:eastAsia="Consolas" w:hAnsi="Consolas"/>
          <w:sz w:val="18"/>
          <w:szCs w:val="18"/>
        </w:rPr>
        <w:t xml:space="preserve">scenario_techniques.ScenarioID</w:t>
      </w:r>
      <w:r>
        <w:t xml:space="preserve"> → </w:t>
      </w:r>
      <w:r>
        <w:rPr>
          <w:rFonts w:ascii="Consolas" w:cs="Consolas" w:eastAsia="Consolas" w:hAnsi="Consolas"/>
          <w:sz w:val="18"/>
          <w:szCs w:val="18"/>
        </w:rPr>
        <w:t xml:space="preserve">attack_scenarios.ScenarioID</w:t>
      </w:r>
      <w:r>
        <w:t xml:space="preserve"> (many-to-one)</w:t>
      </w:r>
    </w:p>
    <w:p>
      <w:pPr>
        <w:pStyle w:val="Heading2"/>
        <w:spacing w:after="120" w:before="280"/>
      </w:pPr>
      <w:r>
        <w:t xml:space="preserve">4.4 SecOps relationships (NEW — in v1.0)</w:t>
      </w:r>
    </w:p>
    <w:p>
      <w:pPr>
        <w:pStyle w:val="ListParagraph"/>
        <w:numPr>
          <w:ilvl w:val="0"/>
          <w:numId w:val="2"/>
        </w:numPr>
        <w:spacing w:after="30" w:before="30" w:line="280"/>
      </w:pPr>
      <w:r>
        <w:rPr>
          <w:rFonts w:ascii="Consolas" w:cs="Consolas" w:eastAsia="Consolas" w:hAnsi="Consolas"/>
          <w:sz w:val="18"/>
          <w:szCs w:val="18"/>
        </w:rPr>
        <w:t xml:space="preserve">secops_visualizations.DashboardID</w:t>
      </w:r>
      <w:r>
        <w:t xml:space="preserve"> → </w:t>
      </w:r>
      <w:r>
        <w:rPr>
          <w:rFonts w:ascii="Consolas" w:cs="Consolas" w:eastAsia="Consolas" w:hAnsi="Consolas"/>
          <w:sz w:val="18"/>
          <w:szCs w:val="18"/>
        </w:rPr>
        <w:t xml:space="preserve">secops_dashboards.DashboardID</w:t>
      </w:r>
      <w:r>
        <w:t xml:space="preserve"> (many-to-one)</w:t>
      </w:r>
    </w:p>
    <w:p>
      <w:pPr>
        <w:pBdr>
          <w:left w:val="single" w:color="F59E0B" w:sz="18" w:space="8"/>
        </w:pBdr>
        <w:shd w:fill="FEF3C7" w:val="clear"/>
        <w:spacing w:after="120" w:before="120" w:line="280"/>
        <w:ind w:left="240"/>
      </w:pPr>
      <w:r>
        <w:rPr>
          <w:b/>
          <w:bCs/>
        </w:rPr>
        <w:t xml:space="preserve">⚠ Important: </w:t>
      </w:r>
      <w:r>
        <w:t xml:space="preserve">secops_visualizations.ComponentIDs is a SEMICOLON-SEPARATED string (e.g., '38; 24; 12'). Power BI cannot relationship-join on this directly. To create a working many-to-many bridge, in Power Query: split the column by semicolon delimiter to rows, trim spaces, convert to integer. Result: a virtual bridge table viz_to_components with VizID + ComponentID. Then relate to components via this bridge.</w:t>
      </w:r>
    </w:p>
    <w:p>
      <w:pPr>
        <w:pStyle w:val="Heading2"/>
        <w:spacing w:after="120" w:before="280"/>
      </w:pPr>
      <w:r>
        <w:t xml:space="preserve">4.5 Detections to playbook relationships</w:t>
      </w:r>
    </w:p>
    <w:p>
      <w:pPr>
        <w:pStyle w:val="ListParagraph"/>
        <w:numPr>
          <w:ilvl w:val="0"/>
          <w:numId w:val="2"/>
        </w:numPr>
        <w:spacing w:after="30" w:before="30" w:line="280"/>
      </w:pPr>
      <w:r>
        <w:rPr>
          <w:rFonts w:ascii="Consolas" w:cs="Consolas" w:eastAsia="Consolas" w:hAnsi="Consolas"/>
          <w:sz w:val="18"/>
          <w:szCs w:val="18"/>
        </w:rPr>
        <w:t xml:space="preserve">detection_playbook.DetectionID</w:t>
      </w:r>
      <w:r>
        <w:t xml:space="preserve"> → </w:t>
      </w:r>
      <w:r>
        <w:rPr>
          <w:rFonts w:ascii="Consolas" w:cs="Consolas" w:eastAsia="Consolas" w:hAnsi="Consolas"/>
          <w:sz w:val="18"/>
          <w:szCs w:val="18"/>
        </w:rPr>
        <w:t xml:space="preserve">detections.DetectionID</w:t>
      </w:r>
      <w:r>
        <w:t xml:space="preserve"> (many-to-one)</w:t>
      </w:r>
    </w:p>
    <w:p>
      <w:pPr>
        <w:pStyle w:val="ListParagraph"/>
        <w:numPr>
          <w:ilvl w:val="0"/>
          <w:numId w:val="2"/>
        </w:numPr>
        <w:spacing w:after="30" w:before="30" w:line="280"/>
      </w:pPr>
      <w:r>
        <w:rPr>
          <w:rFonts w:ascii="Consolas" w:cs="Consolas" w:eastAsia="Consolas" w:hAnsi="Consolas"/>
          <w:sz w:val="18"/>
          <w:szCs w:val="18"/>
        </w:rPr>
        <w:t xml:space="preserve">detection_playbook.PlaybookID</w:t>
      </w:r>
      <w:r>
        <w:t xml:space="preserve"> → </w:t>
      </w:r>
      <w:r>
        <w:rPr>
          <w:rFonts w:ascii="Consolas" w:cs="Consolas" w:eastAsia="Consolas" w:hAnsi="Consolas"/>
          <w:sz w:val="18"/>
          <w:szCs w:val="18"/>
        </w:rPr>
        <w:t xml:space="preserve">remediation_playbooks.PlaybookID</w:t>
      </w:r>
      <w:r>
        <w:t xml:space="preserve"> (many-to-one)</w:t>
      </w:r>
    </w:p>
    <w:p>
      <w:pPr>
        <w:pStyle w:val="Heading2"/>
        <w:spacing w:after="120" w:before="280"/>
      </w:pPr>
      <w:r>
        <w:t xml:space="preserve">4.6 Tool relationships</w:t>
      </w:r>
    </w:p>
    <w:p>
      <w:pPr>
        <w:pStyle w:val="ListParagraph"/>
        <w:numPr>
          <w:ilvl w:val="0"/>
          <w:numId w:val="2"/>
        </w:numPr>
        <w:spacing w:after="30" w:before="30" w:line="280"/>
      </w:pPr>
      <w:r>
        <w:rPr>
          <w:rFonts w:ascii="Consolas" w:cs="Consolas" w:eastAsia="Consolas" w:hAnsi="Consolas"/>
          <w:sz w:val="18"/>
          <w:szCs w:val="18"/>
        </w:rPr>
        <w:t xml:space="preserve">tool_enrichment.ToolID</w:t>
      </w:r>
      <w:r>
        <w:t xml:space="preserve"> → </w:t>
      </w:r>
      <w:r>
        <w:rPr>
          <w:rFonts w:ascii="Consolas" w:cs="Consolas" w:eastAsia="Consolas" w:hAnsi="Consolas"/>
          <w:sz w:val="18"/>
          <w:szCs w:val="18"/>
        </w:rPr>
        <w:t xml:space="preserve">tool_catalog.ToolID</w:t>
      </w:r>
      <w:r>
        <w:t xml:space="preserve"> (one-to-one or many-to-one)</w:t>
      </w:r>
    </w:p>
    <w:p>
      <w:pPr>
        <w:spacing w:after="60" w:before="60" w:line="280"/>
      </w:pPr>
      <w:r>
        <w:t xml:space="preserve">defense_tools.ToolName joins logically to tool_catalog.ToolName as text — but if tool_catalog has a clean ToolID, prefer joining on that.</w:t>
      </w:r>
    </w:p>
    <w:p>
      <w:pPr>
        <w:pStyle w:val="Heading2"/>
        <w:spacing w:after="120" w:before="280"/>
      </w:pPr>
      <w:r>
        <w:t xml:space="preserve">4.7 Log relationships</w:t>
      </w:r>
    </w:p>
    <w:p>
      <w:pPr>
        <w:spacing w:after="60" w:before="60" w:line="280"/>
      </w:pPr>
      <w:r>
        <w:t xml:space="preserve">log_events doesn't have a SourceID column. Logical join: log_events.Component Name + Cloud Provider → log_sources.Components Involved + Cloud Provider. This is best handled by computing a derived column in Power Query rather than a direct relationship.</w:t>
      </w:r>
    </w:p>
    <w:p>
      <w:pPr>
        <w:pStyle w:val="Heading1"/>
        <w:pageBreakBefore/>
        <w:spacing w:after="120" w:before="360"/>
      </w:pPr>
      <w:r>
        <w:t xml:space="preserve">5. DAX measures</w:t>
      </w:r>
    </w:p>
    <w:p>
      <w:pPr>
        <w:spacing w:after="60" w:before="60" w:line="280"/>
      </w:pPr>
      <w:r>
        <w:t xml:space="preserve">Below are 20+ DAX measures organized by analysis purpose. Each is written for the relationships defined in Section 4.</w:t>
      </w:r>
    </w:p>
    <w:p>
      <w:pPr>
        <w:pStyle w:val="Heading2"/>
        <w:spacing w:after="120" w:before="280"/>
      </w:pPr>
      <w:r>
        <w:t xml:space="preserve">5.1 Component / risk measures</w:t>
      </w:r>
    </w:p>
    <w:p>
      <w:pPr>
        <w:pBdr>
          <w:left w:val="single" w:color="F4A261" w:sz="12" w:space="4"/>
        </w:pBdr>
        <w:shd w:fill="F4F4F4" w:val="clear"/>
        <w:spacing w:after="0" w:before="60" w:line="240"/>
        <w:ind w:left="360"/>
      </w:pPr>
      <w:r>
        <w:rPr>
          <w:rFonts w:ascii="Consolas" w:cs="Consolas" w:eastAsia="Consolas" w:hAnsi="Consolas"/>
          <w:sz w:val="18"/>
          <w:szCs w:val="18"/>
        </w:rPr>
        <w:t xml:space="preserve">Total Components = COUNTROWS(components)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Avg Risk Score = AVERAGE(components[Risk Score])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Critical Components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COUNTROWS(components),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components[Risk Tier] = "Critical"</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High Risk Components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COUNTROWS(components),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components[Risk Tier] IN { "Critical", "High" }</w:t>
      </w:r>
    </w:p>
    <w:p>
      <w:pPr>
        <w:pBdr>
          <w:left w:val="single" w:color="F4A261" w:sz="12" w:space="4"/>
        </w:pBdr>
        <w:shd w:fill="F4F4F4" w:val="clear"/>
        <w:spacing w:after="60" w:before="0" w:line="240"/>
        <w:ind w:left="360"/>
      </w:pPr>
      <w:r>
        <w:rPr>
          <w:rFonts w:ascii="Consolas" w:cs="Consolas" w:eastAsia="Consolas" w:hAnsi="Consolas"/>
          <w:sz w:val="18"/>
          <w:szCs w:val="18"/>
        </w:rPr>
        <w:t xml:space="preserve">    )</w:t>
      </w:r>
    </w:p>
    <w:p>
      <w:pPr>
        <w:pStyle w:val="Heading2"/>
        <w:spacing w:after="120" w:before="280"/>
      </w:pPr>
      <w:r>
        <w:t xml:space="preserve">5.2 Detection coverage measures</w:t>
      </w:r>
    </w:p>
    <w:p>
      <w:pPr>
        <w:pBdr>
          <w:left w:val="single" w:color="F4A261" w:sz="12" w:space="4"/>
        </w:pBdr>
        <w:shd w:fill="F4F4F4" w:val="clear"/>
        <w:spacing w:after="0" w:before="60" w:line="240"/>
        <w:ind w:left="360"/>
      </w:pPr>
      <w:r>
        <w:rPr>
          <w:rFonts w:ascii="Consolas" w:cs="Consolas" w:eastAsia="Consolas" w:hAnsi="Consolas"/>
          <w:sz w:val="18"/>
          <w:szCs w:val="18"/>
        </w:rPr>
        <w:t xml:space="preserve">Total Detections = COUNTROWS(detections)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Critical Detections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COUNTROWS(detections),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detections[Severity] = "Critical"</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Components With Detections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DISTINCTCOUNT(detections[ComponentID])</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Detection Coverage %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DIVIDE(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[Components With Detections],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[Total Components],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0</w:t>
      </w:r>
    </w:p>
    <w:p>
      <w:pPr>
        <w:pBdr>
          <w:left w:val="single" w:color="F4A261" w:sz="12" w:space="4"/>
        </w:pBdr>
        <w:shd w:fill="F4F4F4" w:val="clear"/>
        <w:spacing w:after="60" w:before="0" w:line="240"/>
        <w:ind w:left="360"/>
      </w:pPr>
      <w:r>
        <w:rPr>
          <w:rFonts w:ascii="Consolas" w:cs="Consolas" w:eastAsia="Consolas" w:hAnsi="Consolas"/>
          <w:sz w:val="18"/>
          <w:szCs w:val="18"/>
        </w:rPr>
        <w:t xml:space="preserve">    ) * 100</w:t>
      </w:r>
    </w:p>
    <w:p>
      <w:pPr>
        <w:pStyle w:val="Heading2"/>
        <w:spacing w:after="120" w:before="280"/>
      </w:pPr>
      <w:r>
        <w:t xml:space="preserve">5.3 MITRE coverage measures</w:t>
      </w:r>
    </w:p>
    <w:p>
      <w:pPr>
        <w:pBdr>
          <w:left w:val="single" w:color="F4A261" w:sz="12" w:space="4"/>
        </w:pBdr>
        <w:shd w:fill="F4F4F4" w:val="clear"/>
        <w:spacing w:after="0" w:before="60" w:line="240"/>
        <w:ind w:left="360"/>
      </w:pPr>
      <w:r>
        <w:rPr>
          <w:rFonts w:ascii="Consolas" w:cs="Consolas" w:eastAsia="Consolas" w:hAnsi="Consolas"/>
          <w:sz w:val="18"/>
          <w:szCs w:val="18"/>
        </w:rPr>
        <w:t xml:space="preserve">Total MITRE Techniques in Scope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DISTINCTCOUNT(component_mitre[TechniqueID])</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Avg Techniques per Component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DIVIDE(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COUNTROWS(component_mitre),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DISTINCTCOUNT(component_mitre[ComponentID]),</w:t>
      </w:r>
    </w:p>
    <w:p>
      <w:pPr>
        <w:pBdr>
          <w:left w:val="single" w:color="F4A261" w:sz="12" w:space="4"/>
        </w:pBdr>
        <w:shd w:fill="F4F4F4" w:val="clear"/>
        <w:spacing w:after="0" w:before="0" w:line="240"/>
        <w:ind w:left="360"/>
      </w:pPr>
      <w:r>
        <w:rPr>
          <w:rFonts w:ascii="Consolas" w:cs="Consolas" w:eastAsia="Consolas" w:hAnsi="Consolas"/>
          <w:sz w:val="18"/>
          <w:szCs w:val="18"/>
        </w:rPr>
        <w:t xml:space="preserve">        0</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Components With No MITRE Mapping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COUNTROWS(components),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FILTER(</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components,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NOT(components[ComponentID] IN VALUES(component_mitre[ComponentID]))</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t>
      </w:r>
    </w:p>
    <w:p>
      <w:pPr>
        <w:pBdr>
          <w:left w:val="single" w:color="F4A261" w:sz="12" w:space="4"/>
        </w:pBdr>
        <w:shd w:fill="F4F4F4" w:val="clear"/>
        <w:spacing w:after="60" w:before="0" w:line="240"/>
        <w:ind w:left="360"/>
      </w:pPr>
      <w:r>
        <w:rPr>
          <w:rFonts w:ascii="Consolas" w:cs="Consolas" w:eastAsia="Consolas" w:hAnsi="Consolas"/>
          <w:sz w:val="18"/>
          <w:szCs w:val="18"/>
        </w:rPr>
        <w:t xml:space="preserve">    )</w:t>
      </w:r>
    </w:p>
    <w:p>
      <w:pPr>
        <w:pStyle w:val="Heading2"/>
        <w:spacing w:after="120" w:before="280"/>
      </w:pPr>
      <w:r>
        <w:t xml:space="preserve">5.4 Defense tool measures</w:t>
      </w:r>
    </w:p>
    <w:p>
      <w:pPr>
        <w:pBdr>
          <w:left w:val="single" w:color="F4A261" w:sz="12" w:space="4"/>
        </w:pBdr>
        <w:shd w:fill="F4F4F4" w:val="clear"/>
        <w:spacing w:after="0" w:before="60" w:line="240"/>
        <w:ind w:left="360"/>
      </w:pPr>
      <w:r>
        <w:rPr>
          <w:rFonts w:ascii="Consolas" w:cs="Consolas" w:eastAsia="Consolas" w:hAnsi="Consolas"/>
          <w:sz w:val="18"/>
          <w:szCs w:val="18"/>
        </w:rPr>
        <w:t xml:space="preserve">Total Defense Tools = COUNTROWS(defense_tools)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Distinct Tools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DISTINCTCOUNT(defense_tools[ToolName])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Avg Tools per Component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DIVIDE(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[Total Defense Tools],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DISTINCTCOUNT(defense_tools[ComponentID]),</w:t>
      </w:r>
    </w:p>
    <w:p>
      <w:pPr>
        <w:pBdr>
          <w:left w:val="single" w:color="F4A261" w:sz="12" w:space="4"/>
        </w:pBdr>
        <w:shd w:fill="F4F4F4" w:val="clear"/>
        <w:spacing w:after="0" w:before="0" w:line="240"/>
        <w:ind w:left="360"/>
      </w:pPr>
      <w:r>
        <w:rPr>
          <w:rFonts w:ascii="Consolas" w:cs="Consolas" w:eastAsia="Consolas" w:hAnsi="Consolas"/>
          <w:sz w:val="18"/>
          <w:szCs w:val="18"/>
        </w:rPr>
        <w:t xml:space="preserve">        0</w:t>
      </w:r>
    </w:p>
    <w:p>
      <w:pPr>
        <w:pBdr>
          <w:left w:val="single" w:color="F4A261" w:sz="12" w:space="4"/>
        </w:pBdr>
        <w:shd w:fill="F4F4F4" w:val="clear"/>
        <w:spacing w:after="60" w:before="0" w:line="240"/>
        <w:ind w:left="360"/>
      </w:pPr>
      <w:r>
        <w:rPr>
          <w:rFonts w:ascii="Consolas" w:cs="Consolas" w:eastAsia="Consolas" w:hAnsi="Consolas"/>
          <w:sz w:val="18"/>
          <w:szCs w:val="18"/>
        </w:rPr>
        <w:t xml:space="preserve">    )</w:t>
      </w:r>
    </w:p>
    <w:p>
      <w:pPr>
        <w:pStyle w:val="Heading2"/>
        <w:spacing w:after="120" w:before="280"/>
      </w:pPr>
      <w:r>
        <w:t xml:space="preserve">5.5 Log event measures (NEW — v1.0)</w:t>
      </w:r>
    </w:p>
    <w:p>
      <w:pPr>
        <w:pBdr>
          <w:left w:val="single" w:color="F4A261" w:sz="12" w:space="4"/>
        </w:pBdr>
        <w:shd w:fill="F4F4F4" w:val="clear"/>
        <w:spacing w:after="0" w:before="60" w:line="240"/>
        <w:ind w:left="360"/>
      </w:pPr>
      <w:r>
        <w:rPr>
          <w:rFonts w:ascii="Consolas" w:cs="Consolas" w:eastAsia="Consolas" w:hAnsi="Consolas"/>
          <w:sz w:val="18"/>
          <w:szCs w:val="18"/>
        </w:rPr>
        <w:t xml:space="preserve">Total Log Events = COUNTROWS(log_events)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MUST Events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COUNTROWS(log_events),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log_events[Meaningfulness] = "MUST"</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MUST Events with JSON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COUNTROWS(log_events),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log_events[Meaningfulness] = "MUST",</w:t>
      </w:r>
    </w:p>
    <w:p>
      <w:pPr>
        <w:pBdr>
          <w:left w:val="single" w:color="F4A261" w:sz="12" w:space="4"/>
        </w:pBdr>
        <w:shd w:fill="F4F4F4" w:val="clear"/>
        <w:spacing w:after="0" w:before="0" w:line="240"/>
        <w:ind w:left="360"/>
      </w:pPr>
      <w:r>
        <w:rPr>
          <w:rFonts w:ascii="Consolas" w:cs="Consolas" w:eastAsia="Consolas" w:hAnsi="Consolas"/>
          <w:sz w:val="18"/>
          <w:szCs w:val="18"/>
        </w:rPr>
        <w:t xml:space="preserve">        NOT(ISBLANK(log_events[Sample JSON Payload]))</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Should Events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COUNTROWS(log_events),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log_events[Meaningfulness] = "Should"</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MUST/Should Ratio = </w:t>
      </w:r>
    </w:p>
    <w:p>
      <w:pPr>
        <w:pBdr>
          <w:left w:val="single" w:color="F4A261" w:sz="12" w:space="4"/>
        </w:pBdr>
        <w:shd w:fill="F4F4F4" w:val="clear"/>
        <w:spacing w:after="60" w:before="0" w:line="240"/>
        <w:ind w:left="360"/>
      </w:pPr>
      <w:r>
        <w:rPr>
          <w:rFonts w:ascii="Consolas" w:cs="Consolas" w:eastAsia="Consolas" w:hAnsi="Consolas"/>
          <w:sz w:val="18"/>
          <w:szCs w:val="18"/>
        </w:rPr>
        <w:t xml:space="preserve">    DIVIDE([MUST Events], [Should Events], 0)</w:t>
      </w:r>
    </w:p>
    <w:p>
      <w:pPr>
        <w:pStyle w:val="Heading2"/>
        <w:spacing w:after="120" w:before="280"/>
      </w:pPr>
      <w:r>
        <w:t xml:space="preserve">5.6 SecOps measures (NEW — v1.0)</w:t>
      </w:r>
    </w:p>
    <w:p>
      <w:pPr>
        <w:pBdr>
          <w:left w:val="single" w:color="F4A261" w:sz="12" w:space="4"/>
        </w:pBdr>
        <w:shd w:fill="F4F4F4" w:val="clear"/>
        <w:spacing w:after="0" w:before="60" w:line="240"/>
        <w:ind w:left="360"/>
      </w:pPr>
      <w:r>
        <w:rPr>
          <w:rFonts w:ascii="Consolas" w:cs="Consolas" w:eastAsia="Consolas" w:hAnsi="Consolas"/>
          <w:sz w:val="18"/>
          <w:szCs w:val="18"/>
        </w:rPr>
        <w:t xml:space="preserve">Total Dashboards = COUNTROWS(secops_dashboards)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Total Visualizations = COUNTROWS(secops_visualizations)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Avg Viz per Dashboard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DIVIDE([Total Visualizations], [Total Dashboards], 0)</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KQL High Confidence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COUNTROWS(secops_visualizations),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secops_visualizations[KQL Confidence] = "High"</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KQL Confidence % High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DIVIDE(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[KQL High Confidence],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[Total Visualizations],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0</w:t>
      </w:r>
    </w:p>
    <w:p>
      <w:pPr>
        <w:pBdr>
          <w:left w:val="single" w:color="F4A261" w:sz="12" w:space="4"/>
        </w:pBdr>
        <w:shd w:fill="F4F4F4" w:val="clear"/>
        <w:spacing w:after="0" w:before="0" w:line="240"/>
        <w:ind w:left="360"/>
      </w:pPr>
      <w:r>
        <w:rPr>
          <w:rFonts w:ascii="Consolas" w:cs="Consolas" w:eastAsia="Consolas" w:hAnsi="Consolas"/>
          <w:sz w:val="18"/>
          <w:szCs w:val="18"/>
        </w:rPr>
        <w:t xml:space="preserve">    ) * 100</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YARA-L Verified Required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COUNTROWS(secops_visualizations),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secops_visualizations[YARA-L Confidence] = "Low"</w:t>
      </w:r>
    </w:p>
    <w:p>
      <w:pPr>
        <w:pBdr>
          <w:left w:val="single" w:color="F4A261" w:sz="12" w:space="4"/>
        </w:pBdr>
        <w:shd w:fill="F4F4F4" w:val="clear"/>
        <w:spacing w:after="60" w:before="0" w:line="240"/>
        <w:ind w:left="360"/>
      </w:pPr>
      <w:r>
        <w:rPr>
          <w:rFonts w:ascii="Consolas" w:cs="Consolas" w:eastAsia="Consolas" w:hAnsi="Consolas"/>
          <w:sz w:val="18"/>
          <w:szCs w:val="18"/>
        </w:rPr>
        <w:t xml:space="preserve">    )</w:t>
      </w:r>
    </w:p>
    <w:p>
      <w:pPr>
        <w:pStyle w:val="Heading2"/>
        <w:spacing w:after="120" w:before="280"/>
      </w:pPr>
      <w:r>
        <w:t xml:space="preserve">5.7 Compliance measures</w:t>
      </w:r>
    </w:p>
    <w:p>
      <w:pPr>
        <w:pBdr>
          <w:left w:val="single" w:color="F4A261" w:sz="12" w:space="4"/>
        </w:pBdr>
        <w:shd w:fill="F4F4F4" w:val="clear"/>
        <w:spacing w:after="0" w:before="60" w:line="240"/>
        <w:ind w:left="360"/>
      </w:pPr>
      <w:r>
        <w:rPr>
          <w:rFonts w:ascii="Consolas" w:cs="Consolas" w:eastAsia="Consolas" w:hAnsi="Consolas"/>
          <w:sz w:val="18"/>
          <w:szCs w:val="18"/>
        </w:rPr>
        <w:t xml:space="preserve">Total Compliance Mappings = COUNTROWS(compliance_mappings)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Frameworks Covered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DISTINCTCOUNT(compliance_mappings[Framework])</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Components Per Framework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DISTINCTCOUNT(compliance_mappings[ComponentID])</w:t>
      </w:r>
    </w:p>
    <w:p>
      <w:pPr>
        <w:pBdr>
          <w:left w:val="single" w:color="F4A261" w:sz="12" w:space="4"/>
        </w:pBdr>
        <w:shd w:fill="F4F4F4" w:val="clear"/>
        <w:spacing w:after="60" w:before="0" w:line="240"/>
        <w:ind w:left="360"/>
      </w:pPr>
      <w:r>
        <w:rPr>
          <w:rFonts w:ascii="Consolas" w:cs="Consolas" w:eastAsia="Consolas" w:hAnsi="Consolas"/>
          <w:sz w:val="18"/>
          <w:szCs w:val="18"/>
        </w:rPr>
        <w:t xml:space="preserve">    )</w:t>
      </w:r>
    </w:p>
    <w:p>
      <w:pPr>
        <w:pStyle w:val="Heading2"/>
        <w:spacing w:after="120" w:before="280"/>
      </w:pPr>
      <w:r>
        <w:t xml:space="preserve">5.8 Cloud-specific filters (use as visual-level filters)</w:t>
      </w:r>
    </w:p>
    <w:p>
      <w:pPr>
        <w:pBdr>
          <w:left w:val="single" w:color="F4A261" w:sz="12" w:space="4"/>
        </w:pBdr>
        <w:shd w:fill="F4F4F4" w:val="clear"/>
        <w:spacing w:after="0" w:before="60" w:line="240"/>
        <w:ind w:left="360"/>
      </w:pPr>
      <w:r>
        <w:rPr>
          <w:rFonts w:ascii="Consolas" w:cs="Consolas" w:eastAsia="Consolas" w:hAnsi="Consolas"/>
          <w:sz w:val="18"/>
          <w:szCs w:val="18"/>
        </w:rPr>
        <w:t xml:space="preserve">AWS Components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[Total Components],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components[Cloud Provider] = "AWS"</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Azure Components = </w:t>
      </w:r>
    </w:p>
    <w:p>
      <w:pPr>
        <w:pBdr>
          <w:left w:val="single" w:color="F4A261" w:sz="12" w:space="4"/>
        </w:pBdr>
        <w:shd w:fill="F4F4F4" w:val="clear"/>
        <w:spacing w:after="0" w:before="0" w:line="240"/>
        <w:ind w:left="360"/>
      </w:pPr>
      <w:r>
        <w:rPr>
          <w:rFonts w:ascii="Consolas" w:cs="Consolas" w:eastAsia="Consolas" w:hAnsi="Consolas"/>
          <w:sz w:val="18"/>
          <w:szCs w:val="18"/>
        </w:rPr>
        <w:t xml:space="preserve">    CALCULATE([Total Components], components[Cloud Provider] = "Azure")</w:t>
      </w:r>
    </w:p>
    <w:p>
      <w:pPr>
        <w:pBdr>
          <w:left w:val="single" w:color="F4A261" w:sz="12" w:space="4"/>
        </w:pBdr>
        <w:shd w:fill="F4F4F4" w:val="clear"/>
        <w:spacing w:after="0" w:before="0" w:line="240"/>
        <w:ind w:left="360"/>
      </w:pPr>
      <w:r>
        <w:rPr>
          <w:rFonts w:ascii="Consolas" w:cs="Consolas" w:eastAsia="Consolas" w:hAnsi="Consolas"/>
          <w:sz w:val="18"/>
          <w:szCs w:val="18"/>
        </w:rPr>
        <w:t xml:space="preserve"/>
      </w:r>
    </w:p>
    <w:p>
      <w:pPr>
        <w:pBdr>
          <w:left w:val="single" w:color="F4A261" w:sz="12" w:space="4"/>
        </w:pBdr>
        <w:shd w:fill="F4F4F4" w:val="clear"/>
        <w:spacing w:after="0" w:before="0" w:line="240"/>
        <w:ind w:left="360"/>
      </w:pPr>
      <w:r>
        <w:rPr>
          <w:rFonts w:ascii="Consolas" w:cs="Consolas" w:eastAsia="Consolas" w:hAnsi="Consolas"/>
          <w:sz w:val="18"/>
          <w:szCs w:val="18"/>
        </w:rPr>
        <w:t xml:space="preserve">GCP Components = </w:t>
      </w:r>
    </w:p>
    <w:p>
      <w:pPr>
        <w:pBdr>
          <w:left w:val="single" w:color="F4A261" w:sz="12" w:space="4"/>
        </w:pBdr>
        <w:shd w:fill="F4F4F4" w:val="clear"/>
        <w:spacing w:after="60" w:before="0" w:line="240"/>
        <w:ind w:left="360"/>
      </w:pPr>
      <w:r>
        <w:rPr>
          <w:rFonts w:ascii="Consolas" w:cs="Consolas" w:eastAsia="Consolas" w:hAnsi="Consolas"/>
          <w:sz w:val="18"/>
          <w:szCs w:val="18"/>
        </w:rPr>
        <w:t xml:space="preserve">    CALCULATE([Total Components], components[Cloud Provider] = "GCP")</w:t>
      </w:r>
    </w:p>
    <w:p>
      <w:pPr>
        <w:pStyle w:val="Heading1"/>
        <w:pageBreakBefore/>
        <w:spacing w:after="120" w:before="360"/>
      </w:pPr>
      <w:r>
        <w:t xml:space="preserve">6. Recommended report layout (7 pages)</w:t>
      </w:r>
    </w:p>
    <w:p>
      <w:pPr>
        <w:spacing w:after="60" w:before="60" w:line="280"/>
      </w:pPr>
      <w:r>
        <w:t xml:space="preserve">This is a suggested layout. Adjust to your specific audience and branding. Each page is designed to answer a specific question.</w:t>
      </w:r>
    </w:p>
    <w:p>
      <w:pPr>
        <w:pStyle w:val="Heading2"/>
        <w:spacing w:after="120" w:before="280"/>
      </w:pPr>
      <w:r>
        <w:t xml:space="preserve">6.1 Page 1 — Executive Overview</w:t>
      </w:r>
    </w:p>
    <w:p>
      <w:pPr>
        <w:spacing w:after="60" w:before="60" w:line="280"/>
      </w:pPr>
      <w:r>
        <w:rPr>
          <w:b/>
          <w:bCs/>
        </w:rPr>
        <w:t xml:space="preserve">Audience:</w:t>
      </w:r>
      <w:r>
        <w:t xml:space="preserve"> CISO, executives. </w:t>
      </w:r>
      <w:r>
        <w:rPr>
          <w:b/>
          <w:bCs/>
        </w:rPr>
        <w:t xml:space="preserve">Question:</w:t>
      </w:r>
      <w:r>
        <w:t xml:space="preserve"> 'What is the security posture summary?'</w:t>
      </w:r>
    </w:p>
    <w:p>
      <w:pPr>
        <w:pStyle w:val="ListParagraph"/>
        <w:numPr>
          <w:ilvl w:val="0"/>
          <w:numId w:val="2"/>
        </w:numPr>
        <w:spacing w:after="30" w:before="30" w:line="280"/>
      </w:pPr>
      <w:r>
        <w:rPr>
          <w:b/>
          <w:bCs/>
        </w:rPr>
        <w:t xml:space="preserve">KPI cards (top row):</w:t>
      </w:r>
      <w:r>
        <w:t xml:space="preserve"> Total Components, Avg Risk Score, Critical Components, Critical Detections</w:t>
      </w:r>
    </w:p>
    <w:p>
      <w:pPr>
        <w:pStyle w:val="ListParagraph"/>
        <w:numPr>
          <w:ilvl w:val="0"/>
          <w:numId w:val="2"/>
        </w:numPr>
        <w:spacing w:after="30" w:before="30" w:line="280"/>
      </w:pPr>
      <w:r>
        <w:rPr>
          <w:b/>
          <w:bCs/>
        </w:rPr>
        <w:t xml:space="preserve">Donut chart:</w:t>
      </w:r>
      <w:r>
        <w:t xml:space="preserve"> Components by Cloud Provider</w:t>
      </w:r>
    </w:p>
    <w:p>
      <w:pPr>
        <w:pStyle w:val="ListParagraph"/>
        <w:numPr>
          <w:ilvl w:val="0"/>
          <w:numId w:val="2"/>
        </w:numPr>
        <w:spacing w:after="30" w:before="30" w:line="280"/>
      </w:pPr>
      <w:r>
        <w:rPr>
          <w:b/>
          <w:bCs/>
        </w:rPr>
        <w:t xml:space="preserve">Bar chart:</w:t>
      </w:r>
      <w:r>
        <w:t xml:space="preserve"> Components by Category</w:t>
      </w:r>
    </w:p>
    <w:p>
      <w:pPr>
        <w:pStyle w:val="ListParagraph"/>
        <w:numPr>
          <w:ilvl w:val="0"/>
          <w:numId w:val="2"/>
        </w:numPr>
        <w:spacing w:after="30" w:before="30" w:line="280"/>
      </w:pPr>
      <w:r>
        <w:rPr>
          <w:b/>
          <w:bCs/>
        </w:rPr>
        <w:t xml:space="preserve">Stacked bar chart:</w:t>
      </w:r>
      <w:r>
        <w:t xml:space="preserve"> Risk Tier distribution by Cloud</w:t>
      </w:r>
    </w:p>
    <w:p>
      <w:pPr>
        <w:pStyle w:val="ListParagraph"/>
        <w:numPr>
          <w:ilvl w:val="0"/>
          <w:numId w:val="2"/>
        </w:numPr>
        <w:spacing w:after="30" w:before="30" w:line="280"/>
      </w:pPr>
      <w:r>
        <w:rPr>
          <w:b/>
          <w:bCs/>
        </w:rPr>
        <w:t xml:space="preserve">Slicers (right):</w:t>
      </w:r>
      <w:r>
        <w:t xml:space="preserve"> Cloud Provider, Defense Layer</w:t>
      </w:r>
    </w:p>
    <w:p>
      <w:pPr>
        <w:pStyle w:val="Heading2"/>
        <w:spacing w:after="120" w:before="280"/>
      </w:pPr>
      <w:r>
        <w:t xml:space="preserve">6.2 Page 2 — Cloud Comparison</w:t>
      </w:r>
    </w:p>
    <w:p>
      <w:pPr>
        <w:spacing w:after="60" w:before="60" w:line="280"/>
      </w:pPr>
      <w:r>
        <w:rPr>
          <w:b/>
          <w:bCs/>
        </w:rPr>
        <w:t xml:space="preserve">Audience:</w:t>
      </w:r>
      <w:r>
        <w:t xml:space="preserve"> Architects, advisors. </w:t>
      </w:r>
      <w:r>
        <w:rPr>
          <w:b/>
          <w:bCs/>
        </w:rPr>
        <w:t xml:space="preserve">Question:</w:t>
      </w:r>
      <w:r>
        <w:t xml:space="preserve"> 'How do AWS, Azure, GCP compare in coverage?'</w:t>
      </w:r>
    </w:p>
    <w:p>
      <w:pPr>
        <w:pStyle w:val="ListParagraph"/>
        <w:numPr>
          <w:ilvl w:val="0"/>
          <w:numId w:val="2"/>
        </w:numPr>
        <w:spacing w:after="30" w:before="30" w:line="280"/>
      </w:pPr>
      <w:r>
        <w:rPr>
          <w:b/>
          <w:bCs/>
        </w:rPr>
        <w:t xml:space="preserve">Matrix visual:</w:t>
      </w:r>
      <w:r>
        <w:t xml:space="preserve"> Cloud Provider × Category, with Total Components as values</w:t>
      </w:r>
    </w:p>
    <w:p>
      <w:pPr>
        <w:pStyle w:val="ListParagraph"/>
        <w:numPr>
          <w:ilvl w:val="0"/>
          <w:numId w:val="2"/>
        </w:numPr>
        <w:spacing w:after="30" w:before="30" w:line="280"/>
      </w:pPr>
      <w:r>
        <w:rPr>
          <w:b/>
          <w:bCs/>
        </w:rPr>
        <w:t xml:space="preserve">Stacked column:</w:t>
      </w:r>
      <w:r>
        <w:t xml:space="preserve"> Detection coverage by cloud, segmented by Severity</w:t>
      </w:r>
    </w:p>
    <w:p>
      <w:pPr>
        <w:pStyle w:val="ListParagraph"/>
        <w:numPr>
          <w:ilvl w:val="0"/>
          <w:numId w:val="2"/>
        </w:numPr>
        <w:spacing w:after="30" w:before="30" w:line="280"/>
      </w:pPr>
      <w:r>
        <w:rPr>
          <w:b/>
          <w:bCs/>
        </w:rPr>
        <w:t xml:space="preserve">Card visuals (3):</w:t>
      </w:r>
      <w:r>
        <w:t xml:space="preserve"> AWS Components / Azure Components / GCP Components</w:t>
      </w:r>
    </w:p>
    <w:p>
      <w:pPr>
        <w:pStyle w:val="ListParagraph"/>
        <w:numPr>
          <w:ilvl w:val="0"/>
          <w:numId w:val="2"/>
        </w:numPr>
        <w:spacing w:after="30" w:before="30" w:line="280"/>
      </w:pPr>
      <w:r>
        <w:rPr>
          <w:b/>
          <w:bCs/>
        </w:rPr>
        <w:t xml:space="preserve">Tornado chart:</w:t>
      </w:r>
      <w:r>
        <w:t xml:space="preserve"> Risk score distribution per cloud (paired horizontal bars)</w:t>
      </w:r>
    </w:p>
    <w:p>
      <w:pPr>
        <w:pStyle w:val="Heading2"/>
        <w:spacing w:after="120" w:before="280"/>
      </w:pPr>
      <w:r>
        <w:t xml:space="preserve">6.3 Page 3 — MITRE ATT&amp;CK Coverage</w:t>
      </w:r>
    </w:p>
    <w:p>
      <w:pPr>
        <w:spacing w:after="60" w:before="60" w:line="280"/>
      </w:pPr>
      <w:r>
        <w:rPr>
          <w:b/>
          <w:bCs/>
        </w:rPr>
        <w:t xml:space="preserve">Audience:</w:t>
      </w:r>
      <w:r>
        <w:t xml:space="preserve"> Security analysts, customers. </w:t>
      </w:r>
      <w:r>
        <w:rPr>
          <w:b/>
          <w:bCs/>
        </w:rPr>
        <w:t xml:space="preserve">Question:</w:t>
      </w:r>
      <w:r>
        <w:t xml:space="preserve"> 'Which techniques are well-covered, which aren't?'</w:t>
      </w:r>
    </w:p>
    <w:p>
      <w:pPr>
        <w:pStyle w:val="ListParagraph"/>
        <w:numPr>
          <w:ilvl w:val="0"/>
          <w:numId w:val="2"/>
        </w:numPr>
        <w:spacing w:after="30" w:before="30" w:line="280"/>
      </w:pPr>
      <w:r>
        <w:rPr>
          <w:b/>
          <w:bCs/>
        </w:rPr>
        <w:t xml:space="preserve">Matrix visual:</w:t>
      </w:r>
      <w:r>
        <w:t xml:space="preserve"> MITRE Tactic × Technique with count of components mapped</w:t>
      </w:r>
    </w:p>
    <w:p>
      <w:pPr>
        <w:pStyle w:val="ListParagraph"/>
        <w:numPr>
          <w:ilvl w:val="0"/>
          <w:numId w:val="2"/>
        </w:numPr>
        <w:spacing w:after="30" w:before="30" w:line="280"/>
      </w:pPr>
      <w:r>
        <w:rPr>
          <w:b/>
          <w:bCs/>
        </w:rPr>
        <w:t xml:space="preserve">Heatmap (custom visual):</w:t>
      </w:r>
      <w:r>
        <w:t xml:space="preserve"> Tactic intensity colored by mapping density</w:t>
      </w:r>
    </w:p>
    <w:p>
      <w:pPr>
        <w:pStyle w:val="ListParagraph"/>
        <w:numPr>
          <w:ilvl w:val="0"/>
          <w:numId w:val="2"/>
        </w:numPr>
        <w:spacing w:after="30" w:before="30" w:line="280"/>
      </w:pPr>
      <w:r>
        <w:rPr>
          <w:b/>
          <w:bCs/>
        </w:rPr>
        <w:t xml:space="preserve">Bar chart:</w:t>
      </w:r>
      <w:r>
        <w:t xml:space="preserve"> Top 10 most-mapped techniques (which are the prevalent attack patterns?)</w:t>
      </w:r>
    </w:p>
    <w:p>
      <w:pPr>
        <w:pStyle w:val="ListParagraph"/>
        <w:numPr>
          <w:ilvl w:val="0"/>
          <w:numId w:val="2"/>
        </w:numPr>
        <w:spacing w:after="30" w:before="30" w:line="280"/>
      </w:pPr>
      <w:r>
        <w:rPr>
          <w:b/>
          <w:bCs/>
        </w:rPr>
        <w:t xml:space="preserve">Card:</w:t>
      </w:r>
      <w:r>
        <w:t xml:space="preserve"> Total MITRE Techniques in Scope</w:t>
      </w:r>
    </w:p>
    <w:p>
      <w:pPr>
        <w:pStyle w:val="ListParagraph"/>
        <w:numPr>
          <w:ilvl w:val="0"/>
          <w:numId w:val="2"/>
        </w:numPr>
        <w:spacing w:after="30" w:before="30" w:line="280"/>
      </w:pPr>
      <w:r>
        <w:rPr>
          <w:b/>
          <w:bCs/>
        </w:rPr>
        <w:t xml:space="preserve">Drillthrough page:</w:t>
      </w:r>
      <w:r>
        <w:t xml:space="preserve"> Per-technique detail (Component list + Defense Tools)</w:t>
      </w:r>
    </w:p>
    <w:p>
      <w:pPr>
        <w:pStyle w:val="Heading2"/>
        <w:spacing w:after="120" w:before="280"/>
      </w:pPr>
      <w:r>
        <w:t xml:space="preserve">6.4 Page 4 — SecOps Dashboards (NEW)</w:t>
      </w:r>
    </w:p>
    <w:p>
      <w:pPr>
        <w:spacing w:after="60" w:before="60" w:line="280"/>
      </w:pPr>
      <w:r>
        <w:rPr>
          <w:b/>
          <w:bCs/>
        </w:rPr>
        <w:t xml:space="preserve">Audience:</w:t>
      </w:r>
      <w:r>
        <w:t xml:space="preserve"> SOC managers, advisors selling SecOps services. </w:t>
      </w:r>
      <w:r>
        <w:rPr>
          <w:b/>
          <w:bCs/>
        </w:rPr>
        <w:t xml:space="preserve">Question:</w:t>
      </w:r>
      <w:r>
        <w:t xml:space="preserve"> 'What dashboards and queries do we recommend?'</w:t>
      </w:r>
    </w:p>
    <w:p>
      <w:pPr>
        <w:pStyle w:val="ListParagraph"/>
        <w:numPr>
          <w:ilvl w:val="0"/>
          <w:numId w:val="2"/>
        </w:numPr>
        <w:spacing w:after="30" w:before="30" w:line="280"/>
      </w:pPr>
      <w:r>
        <w:rPr>
          <w:b/>
          <w:bCs/>
        </w:rPr>
        <w:t xml:space="preserve">Card row:</w:t>
      </w:r>
      <w:r>
        <w:t xml:space="preserve"> Total Dashboards, Total Visualizations, KQL Confidence % High, YARA-L Verified Required</w:t>
      </w:r>
    </w:p>
    <w:p>
      <w:pPr>
        <w:pStyle w:val="ListParagraph"/>
        <w:numPr>
          <w:ilvl w:val="0"/>
          <w:numId w:val="2"/>
        </w:numPr>
        <w:spacing w:after="30" w:before="30" w:line="280"/>
      </w:pPr>
      <w:r>
        <w:rPr>
          <w:b/>
          <w:bCs/>
        </w:rPr>
        <w:t xml:space="preserve">Bar chart:</w:t>
      </w:r>
      <w:r>
        <w:t xml:space="preserve"> Visualizations per Dashboard</w:t>
      </w:r>
    </w:p>
    <w:p>
      <w:pPr>
        <w:pStyle w:val="ListParagraph"/>
        <w:numPr>
          <w:ilvl w:val="0"/>
          <w:numId w:val="2"/>
        </w:numPr>
        <w:spacing w:after="30" w:before="30" w:line="280"/>
      </w:pPr>
      <w:r>
        <w:rPr>
          <w:b/>
          <w:bCs/>
        </w:rPr>
        <w:t xml:space="preserve">Stacked bar:</w:t>
      </w:r>
      <w:r>
        <w:t xml:space="preserve"> KQL Confidence breakdown per Dashboard (High / Medium / Low)</w:t>
      </w:r>
    </w:p>
    <w:p>
      <w:pPr>
        <w:pStyle w:val="ListParagraph"/>
        <w:numPr>
          <w:ilvl w:val="0"/>
          <w:numId w:val="2"/>
        </w:numPr>
        <w:spacing w:after="30" w:before="30" w:line="280"/>
      </w:pPr>
      <w:r>
        <w:rPr>
          <w:b/>
          <w:bCs/>
        </w:rPr>
        <w:t xml:space="preserve">Table visual:</w:t>
      </w:r>
      <w:r>
        <w:t xml:space="preserve"> Dashboards list with columns: Name, Category, Why It Matters, # Visualizations, MITRE Tactics</w:t>
      </w:r>
    </w:p>
    <w:p>
      <w:pPr>
        <w:pStyle w:val="ListParagraph"/>
        <w:numPr>
          <w:ilvl w:val="0"/>
          <w:numId w:val="2"/>
        </w:numPr>
        <w:spacing w:after="30" w:before="30" w:line="280"/>
      </w:pPr>
      <w:r>
        <w:rPr>
          <w:b/>
          <w:bCs/>
        </w:rPr>
        <w:t xml:space="preserve">Detail (drillthrough):</w:t>
      </w:r>
      <w:r>
        <w:t xml:space="preserve"> Click a dashboard, see all visualizations with Title, Type, Components, Confidence pills</w:t>
      </w:r>
    </w:p>
    <w:p>
      <w:pPr>
        <w:pStyle w:val="Heading2"/>
        <w:spacing w:after="120" w:before="280"/>
      </w:pPr>
      <w:r>
        <w:t xml:space="preserve">6.5 Page 5 — Log &amp; Telemetry Strategy (NEW)</w:t>
      </w:r>
    </w:p>
    <w:p>
      <w:pPr>
        <w:spacing w:after="60" w:before="60" w:line="280"/>
      </w:pPr>
      <w:r>
        <w:rPr>
          <w:b/>
          <w:bCs/>
        </w:rPr>
        <w:t xml:space="preserve">Audience:</w:t>
      </w:r>
      <w:r>
        <w:t xml:space="preserve"> SecOps engineers, customer SOCs evaluating ingestion. </w:t>
      </w:r>
      <w:r>
        <w:rPr>
          <w:b/>
          <w:bCs/>
        </w:rPr>
        <w:t xml:space="preserve">Question:</w:t>
      </w:r>
      <w:r>
        <w:t xml:space="preserve"> 'What logs should we ingest, why, at what cost?'</w:t>
      </w:r>
    </w:p>
    <w:p>
      <w:pPr>
        <w:pStyle w:val="ListParagraph"/>
        <w:numPr>
          <w:ilvl w:val="0"/>
          <w:numId w:val="2"/>
        </w:numPr>
        <w:spacing w:after="30" w:before="30" w:line="280"/>
      </w:pPr>
      <w:r>
        <w:rPr>
          <w:b/>
          <w:bCs/>
        </w:rPr>
        <w:t xml:space="preserve">Card row:</w:t>
      </w:r>
      <w:r>
        <w:t xml:space="preserve"> Total Log Events, MUST Events, Should Events, MUST Events with JSON</w:t>
      </w:r>
    </w:p>
    <w:p>
      <w:pPr>
        <w:pStyle w:val="ListParagraph"/>
        <w:numPr>
          <w:ilvl w:val="0"/>
          <w:numId w:val="2"/>
        </w:numPr>
        <w:spacing w:after="30" w:before="30" w:line="280"/>
      </w:pPr>
      <w:r>
        <w:rPr>
          <w:b/>
          <w:bCs/>
        </w:rPr>
        <w:t xml:space="preserve">Donut chart:</w:t>
      </w:r>
      <w:r>
        <w:t xml:space="preserve"> Meaningfulness distribution (MUST / Should / Nice-to-have)</w:t>
      </w:r>
    </w:p>
    <w:p>
      <w:pPr>
        <w:pStyle w:val="ListParagraph"/>
        <w:numPr>
          <w:ilvl w:val="0"/>
          <w:numId w:val="2"/>
        </w:numPr>
        <w:spacing w:after="30" w:before="30" w:line="280"/>
      </w:pPr>
      <w:r>
        <w:rPr>
          <w:b/>
          <w:bCs/>
        </w:rPr>
        <w:t xml:space="preserve">Stacked bar:</w:t>
      </w:r>
      <w:r>
        <w:t xml:space="preserve"> Log volume tier (Low / Medium / High) per cloud</w:t>
      </w:r>
    </w:p>
    <w:p>
      <w:pPr>
        <w:pStyle w:val="ListParagraph"/>
        <w:numPr>
          <w:ilvl w:val="0"/>
          <w:numId w:val="2"/>
        </w:numPr>
        <w:spacing w:after="30" w:before="30" w:line="280"/>
      </w:pPr>
      <w:r>
        <w:rPr>
          <w:b/>
          <w:bCs/>
        </w:rPr>
        <w:t xml:space="preserve">Table visual:</w:t>
      </w:r>
      <w:r>
        <w:t xml:space="preserve"> Log Sources with columns: Name, Cloud, Cost Tier, Default On, Why Ingest, Top 5 Events</w:t>
      </w:r>
    </w:p>
    <w:p>
      <w:pPr>
        <w:pStyle w:val="ListParagraph"/>
        <w:numPr>
          <w:ilvl w:val="0"/>
          <w:numId w:val="2"/>
        </w:numPr>
        <w:spacing w:after="30" w:before="30" w:line="280"/>
      </w:pPr>
      <w:r>
        <w:rPr>
          <w:b/>
          <w:bCs/>
        </w:rPr>
        <w:t xml:space="preserve">Detail (drillthrough):</w:t>
      </w:r>
      <w:r>
        <w:t xml:space="preserve"> Click a log source, see all related events with Meaningfulness, Why It Matters, Sample JSON</w:t>
      </w:r>
    </w:p>
    <w:p>
      <w:pPr>
        <w:pStyle w:val="Heading2"/>
        <w:spacing w:after="120" w:before="280"/>
      </w:pPr>
      <w:r>
        <w:t xml:space="preserve">6.6 Page 6 — Threat Actors &amp; Breaches</w:t>
      </w:r>
    </w:p>
    <w:p>
      <w:pPr>
        <w:spacing w:after="60" w:before="60" w:line="280"/>
      </w:pPr>
      <w:r>
        <w:rPr>
          <w:b/>
          <w:bCs/>
        </w:rPr>
        <w:t xml:space="preserve">Audience:</w:t>
      </w:r>
      <w:r>
        <w:t xml:space="preserve"> Threat intel analysts, customer briefings. </w:t>
      </w:r>
      <w:r>
        <w:rPr>
          <w:b/>
          <w:bCs/>
        </w:rPr>
        <w:t xml:space="preserve">Question:</w:t>
      </w:r>
      <w:r>
        <w:t xml:space="preserve"> 'What threats target this kind of architecture?'</w:t>
      </w:r>
    </w:p>
    <w:p>
      <w:pPr>
        <w:pStyle w:val="ListParagraph"/>
        <w:numPr>
          <w:ilvl w:val="0"/>
          <w:numId w:val="2"/>
        </w:numPr>
        <w:spacing w:after="30" w:before="30" w:line="280"/>
      </w:pPr>
      <w:r>
        <w:rPr>
          <w:b/>
          <w:bCs/>
        </w:rPr>
        <w:t xml:space="preserve">Card row:</w:t>
      </w:r>
      <w:r>
        <w:t xml:space="preserve"> Total Threat Actors, Total Breaches, Total Attack Scenarios</w:t>
      </w:r>
    </w:p>
    <w:p>
      <w:pPr>
        <w:pStyle w:val="ListParagraph"/>
        <w:numPr>
          <w:ilvl w:val="0"/>
          <w:numId w:val="2"/>
        </w:numPr>
        <w:spacing w:after="30" w:before="30" w:line="280"/>
      </w:pPr>
      <w:r>
        <w:rPr>
          <w:b/>
          <w:bCs/>
        </w:rPr>
        <w:t xml:space="preserve">Bar chart:</w:t>
      </w:r>
      <w:r>
        <w:t xml:space="preserve"> Top actors by linked scenarios</w:t>
      </w:r>
    </w:p>
    <w:p>
      <w:pPr>
        <w:pStyle w:val="ListParagraph"/>
        <w:numPr>
          <w:ilvl w:val="0"/>
          <w:numId w:val="2"/>
        </w:numPr>
        <w:spacing w:after="30" w:before="30" w:line="280"/>
      </w:pPr>
      <w:r>
        <w:rPr>
          <w:b/>
          <w:bCs/>
        </w:rPr>
        <w:t xml:space="preserve">Treemap:</w:t>
      </w:r>
      <w:r>
        <w:t xml:space="preserve"> Breaches sized by impact (or by # of components involved)</w:t>
      </w:r>
    </w:p>
    <w:p>
      <w:pPr>
        <w:pStyle w:val="ListParagraph"/>
        <w:numPr>
          <w:ilvl w:val="0"/>
          <w:numId w:val="2"/>
        </w:numPr>
        <w:spacing w:after="30" w:before="30" w:line="280"/>
      </w:pPr>
      <w:r>
        <w:rPr>
          <w:b/>
          <w:bCs/>
        </w:rPr>
        <w:t xml:space="preserve">Network/relationship visual:</w:t>
      </w:r>
      <w:r>
        <w:t xml:space="preserve"> Actor → Scenario → Component (custom visual or matrix)</w:t>
      </w:r>
    </w:p>
    <w:p>
      <w:pPr>
        <w:pStyle w:val="ListParagraph"/>
        <w:numPr>
          <w:ilvl w:val="0"/>
          <w:numId w:val="2"/>
        </w:numPr>
        <w:spacing w:after="30" w:before="30" w:line="280"/>
      </w:pPr>
      <w:r>
        <w:rPr>
          <w:b/>
          <w:bCs/>
        </w:rPr>
        <w:t xml:space="preserve">Table visual:</w:t>
      </w:r>
      <w:r>
        <w:t xml:space="preserve"> Public breaches with date, year, components involved, root cause</w:t>
      </w:r>
    </w:p>
    <w:p>
      <w:pPr>
        <w:pStyle w:val="Heading2"/>
        <w:spacing w:after="120" w:before="280"/>
      </w:pPr>
      <w:r>
        <w:t xml:space="preserve">6.7 Page 7 — Compliance Posture</w:t>
      </w:r>
    </w:p>
    <w:p>
      <w:pPr>
        <w:spacing w:after="60" w:before="60" w:line="280"/>
      </w:pPr>
      <w:r>
        <w:rPr>
          <w:b/>
          <w:bCs/>
        </w:rPr>
        <w:t xml:space="preserve">Audience:</w:t>
      </w:r>
      <w:r>
        <w:t xml:space="preserve"> GRC teams, auditors. </w:t>
      </w:r>
      <w:r>
        <w:rPr>
          <w:b/>
          <w:bCs/>
        </w:rPr>
        <w:t xml:space="preserve">Question:</w:t>
      </w:r>
      <w:r>
        <w:t xml:space="preserve"> 'Which frameworks are covered? Where are the gaps?'</w:t>
      </w:r>
    </w:p>
    <w:p>
      <w:pPr>
        <w:pStyle w:val="ListParagraph"/>
        <w:numPr>
          <w:ilvl w:val="0"/>
          <w:numId w:val="2"/>
        </w:numPr>
        <w:spacing w:after="30" w:before="30" w:line="280"/>
      </w:pPr>
      <w:r>
        <w:rPr>
          <w:b/>
          <w:bCs/>
        </w:rPr>
        <w:t xml:space="preserve">Card row:</w:t>
      </w:r>
      <w:r>
        <w:t xml:space="preserve"> Total Mappings, Frameworks Covered, Components Per Framework</w:t>
      </w:r>
    </w:p>
    <w:p>
      <w:pPr>
        <w:pStyle w:val="ListParagraph"/>
        <w:numPr>
          <w:ilvl w:val="0"/>
          <w:numId w:val="2"/>
        </w:numPr>
        <w:spacing w:after="30" w:before="30" w:line="280"/>
      </w:pPr>
      <w:r>
        <w:rPr>
          <w:b/>
          <w:bCs/>
        </w:rPr>
        <w:t xml:space="preserve">Stacked bar:</w:t>
      </w:r>
      <w:r>
        <w:t xml:space="preserve"> Mappings per framework segmented by component category</w:t>
      </w:r>
    </w:p>
    <w:p>
      <w:pPr>
        <w:pStyle w:val="ListParagraph"/>
        <w:numPr>
          <w:ilvl w:val="0"/>
          <w:numId w:val="2"/>
        </w:numPr>
        <w:spacing w:after="30" w:before="30" w:line="280"/>
      </w:pPr>
      <w:r>
        <w:rPr>
          <w:b/>
          <w:bCs/>
        </w:rPr>
        <w:t xml:space="preserve">Matrix:</w:t>
      </w:r>
      <w:r>
        <w:t xml:space="preserve"> Components × Frameworks (mark covered / not covered)</w:t>
      </w:r>
    </w:p>
    <w:p>
      <w:pPr>
        <w:pStyle w:val="ListParagraph"/>
        <w:numPr>
          <w:ilvl w:val="0"/>
          <w:numId w:val="2"/>
        </w:numPr>
        <w:spacing w:after="30" w:before="30" w:line="280"/>
      </w:pPr>
      <w:r>
        <w:rPr>
          <w:b/>
          <w:bCs/>
        </w:rPr>
        <w:t xml:space="preserve">Table:</w:t>
      </w:r>
      <w:r>
        <w:t xml:space="preserve"> Components missing one of the major frameworks (gap analysis)</w:t>
      </w:r>
    </w:p>
    <w:p>
      <w:pPr>
        <w:pStyle w:val="Heading1"/>
        <w:pageBreakBefore/>
        <w:spacing w:after="120" w:before="360"/>
      </w:pPr>
      <w:r>
        <w:t xml:space="preserve">7. How to import the XLSX into Power BI</w:t>
      </w:r>
    </w:p>
    <w:p>
      <w:pPr>
        <w:pStyle w:val="ListParagraph"/>
        <w:numPr>
          <w:ilvl w:val="0"/>
          <w:numId w:val="3"/>
        </w:numPr>
        <w:spacing w:after="30" w:before="30" w:line="280"/>
      </w:pPr>
      <w:r>
        <w:rPr>
          <w:b/>
          <w:bCs/>
        </w:rPr>
        <w:t xml:space="preserve">Open Power BI Desktop</w:t>
      </w:r>
    </w:p>
    <w:p>
      <w:pPr>
        <w:pStyle w:val="ListParagraph"/>
        <w:numPr>
          <w:ilvl w:val="0"/>
          <w:numId w:val="3"/>
        </w:numPr>
        <w:spacing w:after="30" w:before="30" w:line="280"/>
      </w:pPr>
      <w:r>
        <w:rPr>
          <w:b/>
          <w:bCs/>
        </w:rPr>
        <w:t xml:space="preserve">Get Data → Excel workbook</w:t>
      </w:r>
      <w:r>
        <w:t xml:space="preserve"> — select Cloud-Security-Advisor-Dataset.xlsx</w:t>
      </w:r>
    </w:p>
    <w:p>
      <w:pPr>
        <w:pStyle w:val="ListParagraph"/>
        <w:numPr>
          <w:ilvl w:val="0"/>
          <w:numId w:val="3"/>
        </w:numPr>
        <w:spacing w:after="30" w:before="30" w:line="280"/>
      </w:pPr>
      <w:r>
        <w:rPr>
          <w:b/>
          <w:bCs/>
        </w:rPr>
        <w:t xml:space="preserve">In the Navigator window</w:t>
      </w:r>
      <w:r>
        <w:t xml:space="preserve">, check ALL 25 sheets, then click 'Transform Data' (NOT 'Load' yet)</w:t>
      </w:r>
    </w:p>
    <w:p>
      <w:pPr>
        <w:pStyle w:val="ListParagraph"/>
        <w:numPr>
          <w:ilvl w:val="0"/>
          <w:numId w:val="3"/>
        </w:numPr>
        <w:spacing w:after="30" w:before="30" w:line="280"/>
      </w:pPr>
      <w:r>
        <w:rPr>
          <w:b/>
          <w:bCs/>
        </w:rPr>
        <w:t xml:space="preserve">In Power Query Editor:</w: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2"/>
        </w:numPr>
        <w:spacing w:after="30" w:before="30" w:line="280"/>
      </w:pPr>
      <w:r>
        <w:t xml:space="default"/>
      </w:r>
    </w:p>
    <w:p>
      <w:pPr>
        <w:pStyle w:val="ListParagraph"/>
        <w:numPr>
          <w:ilvl w:val="0"/>
          <w:numId w:val="3"/>
        </w:numPr>
        <w:spacing w:after="30" w:before="30" w:line="280"/>
      </w:pPr>
      <w:r>
        <w:rPr>
          <w:b/>
          <w:bCs/>
        </w:rPr>
        <w:t xml:space="preserve">Click 'Close &amp; Apply'</w:t>
      </w:r>
    </w:p>
    <w:p>
      <w:pPr>
        <w:pStyle w:val="ListParagraph"/>
        <w:numPr>
          <w:ilvl w:val="0"/>
          <w:numId w:val="3"/>
        </w:numPr>
        <w:spacing w:after="30" w:before="30" w:line="280"/>
      </w:pPr>
      <w:r>
        <w:rPr>
          <w:b/>
          <w:bCs/>
        </w:rPr>
        <w:t xml:space="preserve">Switch to Model view</w:t>
      </w:r>
    </w:p>
    <w:p>
      <w:pPr>
        <w:pStyle w:val="ListParagraph"/>
        <w:numPr>
          <w:ilvl w:val="0"/>
          <w:numId w:val="3"/>
        </w:numPr>
        <w:spacing w:after="30" w:before="30" w:line="280"/>
      </w:pPr>
      <w:r>
        <w:rPr>
          <w:b/>
          <w:bCs/>
        </w:rPr>
        <w:t xml:space="preserve">Create relationships per Section 4</w:t>
      </w:r>
    </w:p>
    <w:p>
      <w:pPr>
        <w:pStyle w:val="ListParagraph"/>
        <w:numPr>
          <w:ilvl w:val="0"/>
          <w:numId w:val="3"/>
        </w:numPr>
        <w:spacing w:after="30" w:before="30" w:line="280"/>
      </w:pPr>
      <w:r>
        <w:rPr>
          <w:b/>
          <w:bCs/>
        </w:rPr>
        <w:t xml:space="preserve">Switch to Report view</w:t>
      </w:r>
    </w:p>
    <w:p>
      <w:pPr>
        <w:pStyle w:val="ListParagraph"/>
        <w:numPr>
          <w:ilvl w:val="0"/>
          <w:numId w:val="3"/>
        </w:numPr>
        <w:spacing w:after="30" w:before="30" w:line="280"/>
      </w:pPr>
      <w:r>
        <w:rPr>
          <w:b/>
          <w:bCs/>
        </w:rPr>
        <w:t xml:space="preserve">Add measures from Section 5</w:t>
      </w:r>
      <w:r>
        <w:t xml:space="preserve"> — paste each into the Modeling tab → New Measure</w:t>
      </w:r>
    </w:p>
    <w:p>
      <w:pPr>
        <w:pStyle w:val="ListParagraph"/>
        <w:numPr>
          <w:ilvl w:val="0"/>
          <w:numId w:val="3"/>
        </w:numPr>
        <w:spacing w:after="30" w:before="30" w:line="280"/>
      </w:pPr>
      <w:r>
        <w:rPr>
          <w:b/>
          <w:bCs/>
        </w:rPr>
        <w:t xml:space="preserve">Build pages per Section 6</w:t>
      </w:r>
    </w:p>
    <w:p>
      <w:pPr>
        <w:pStyle w:val="ListParagraph"/>
        <w:numPr>
          <w:ilvl w:val="0"/>
          <w:numId w:val="3"/>
        </w:numPr>
        <w:spacing w:after="30" w:before="30" w:line="280"/>
      </w:pPr>
      <w:r>
        <w:rPr>
          <w:b/>
          <w:bCs/>
        </w:rPr>
        <w:t xml:space="preserve">Save as .pbix</w:t>
      </w:r>
      <w:r>
        <w:t xml:space="preserve"> — keep the .pbix as your master template</w:t>
      </w:r>
    </w:p>
    <w:p>
      <w:pPr>
        <w:pBdr>
          <w:left w:val="single" w:color="F4A261" w:sz="18" w:space="8"/>
        </w:pBdr>
        <w:shd w:fill="FFF8F0" w:val="clear"/>
        <w:spacing w:after="120" w:before="120" w:line="280"/>
        <w:ind w:left="240"/>
      </w:pPr>
      <w:r>
        <w:rPr>
          <w:b/>
          <w:bCs/>
        </w:rPr>
        <w:t xml:space="preserve">Performance tip: </w:t>
      </w:r>
      <w:r>
        <w:t xml:space="preserve">The dataset is small (660 KB). Power BI's import mode is appropriate. DirectQuery is overkill and adds latency for this dataset size.</w:t>
      </w:r>
    </w:p>
    <w:p>
      <w:pPr>
        <w:pStyle w:val="Heading1"/>
        <w:pageBreakBefore/>
        <w:spacing w:after="120" w:before="360"/>
      </w:pPr>
      <w:r>
        <w:t xml:space="preserve">8. Honest caveats</w:t>
      </w:r>
    </w:p>
    <w:p>
      <w:pPr>
        <w:pBdr>
          <w:left w:val="single" w:color="F59E0B" w:sz="18" w:space="8"/>
        </w:pBdr>
        <w:shd w:fill="FEF3C7" w:val="clear"/>
        <w:spacing w:after="120" w:before="120" w:line="280"/>
        <w:ind w:left="240"/>
      </w:pPr>
      <w:r>
        <w:rPr>
          <w:b/>
          <w:bCs/>
        </w:rPr>
        <w:t xml:space="preserve">⚠ Important: </w:t>
      </w:r>
      <w:r>
        <w:t xml:space="preserve">Everything in this document is a specification, not a guaranteed-working implementation. Test each measure and visual in your own Power BI environment before deploying.</w:t>
      </w:r>
    </w:p>
    <w:p>
      <w:pPr>
        <w:pStyle w:val="Heading2"/>
        <w:spacing w:after="120" w:before="280"/>
      </w:pPr>
      <w:r>
        <w:t xml:space="preserve">8.1 What I (the document author) cannot validate</w:t>
      </w:r>
    </w:p>
    <w:p>
      <w:pPr>
        <w:pStyle w:val="ListParagraph"/>
        <w:numPr>
          <w:ilvl w:val="0"/>
          <w:numId w:val="2"/>
        </w:numPr>
        <w:spacing w:after="30" w:before="30" w:line="280"/>
      </w:pPr>
      <w:r>
        <w:rPr>
          <w:b/>
          <w:bCs/>
        </w:rPr>
        <w:t xml:space="preserve">DAX syntax</w:t>
      </w:r>
      <w:r>
        <w:t xml:space="preserve"> — written following Microsoft documentation but not executed in Power BI Desktop</w:t>
      </w:r>
    </w:p>
    <w:p>
      <w:pPr>
        <w:pStyle w:val="ListParagraph"/>
        <w:numPr>
          <w:ilvl w:val="0"/>
          <w:numId w:val="2"/>
        </w:numPr>
        <w:spacing w:after="30" w:before="30" w:line="280"/>
      </w:pPr>
      <w:r>
        <w:rPr>
          <w:b/>
          <w:bCs/>
        </w:rPr>
        <w:t xml:space="preserve">Visual rendering</w:t>
      </w:r>
      <w:r>
        <w:t xml:space="preserve"> — described abstractly. Custom visuals (heatmaps, network/relationship visuals) may behave differently in your version of Power BI</w:t>
      </w:r>
    </w:p>
    <w:p>
      <w:pPr>
        <w:pStyle w:val="ListParagraph"/>
        <w:numPr>
          <w:ilvl w:val="0"/>
          <w:numId w:val="2"/>
        </w:numPr>
        <w:spacing w:after="30" w:before="30" w:line="280"/>
      </w:pPr>
      <w:r>
        <w:rPr>
          <w:b/>
          <w:bCs/>
        </w:rPr>
        <w:t xml:space="preserve">Performance at scale</w:t>
      </w:r>
      <w:r>
        <w:t xml:space="preserve"> — measures are written for clarity, not optimized. Profile in your environment before publishing</w:t>
      </w:r>
    </w:p>
    <w:p>
      <w:pPr>
        <w:pStyle w:val="ListParagraph"/>
        <w:numPr>
          <w:ilvl w:val="0"/>
          <w:numId w:val="2"/>
        </w:numPr>
        <w:spacing w:after="30" w:before="30" w:line="280"/>
      </w:pPr>
      <w:r>
        <w:rPr>
          <w:b/>
          <w:bCs/>
        </w:rPr>
        <w:t xml:space="preserve">Drillthrough behavior</w:t>
      </w:r>
      <w:r>
        <w:t xml:space="preserve"> — recommendations rely on Power BI's drillthrough feature working as documented; verify with simple test pages first</w:t>
      </w:r>
    </w:p>
    <w:p>
      <w:pPr>
        <w:pStyle w:val="Heading2"/>
        <w:spacing w:after="120" w:before="280"/>
      </w:pPr>
      <w:r>
        <w:t xml:space="preserve">8.2 Common things to fix</w:t>
      </w:r>
    </w:p>
    <w:p>
      <w:pPr>
        <w:pStyle w:val="ListParagraph"/>
        <w:numPr>
          <w:ilvl w:val="0"/>
          <w:numId w:val="2"/>
        </w:numPr>
        <w:spacing w:after="30" w:before="30" w:line="280"/>
      </w:pPr>
      <w:r>
        <w:rPr>
          <w:b/>
          <w:bCs/>
        </w:rPr>
        <w:t xml:space="preserve">Risk Tier as derived column</w:t>
      </w:r>
      <w:r>
        <w:t xml:space="preserve"> — if the dataset doesn't have a Risk Tier column already, derive it in Power Query: 9-10 = Critical, 7-8 = High, 5-6 = Medium, 1-4 = Low</w:t>
      </w:r>
    </w:p>
    <w:p>
      <w:pPr>
        <w:pStyle w:val="ListParagraph"/>
        <w:numPr>
          <w:ilvl w:val="0"/>
          <w:numId w:val="2"/>
        </w:numPr>
        <w:spacing w:after="30" w:before="30" w:line="280"/>
      </w:pPr>
      <w:r>
        <w:rPr>
          <w:b/>
          <w:bCs/>
        </w:rPr>
        <w:t xml:space="preserve">MITRE Tactic from Technique</w:t>
      </w:r>
      <w:r>
        <w:t xml:space="preserve"> — mitre_attack should have both Tactic and TechniqueID. If not, derive: Initial Access = TA0001, Execution = TA0002, etc.</w:t>
      </w:r>
    </w:p>
    <w:p>
      <w:pPr>
        <w:pStyle w:val="ListParagraph"/>
        <w:numPr>
          <w:ilvl w:val="0"/>
          <w:numId w:val="2"/>
        </w:numPr>
        <w:spacing w:after="30" w:before="30" w:line="280"/>
      </w:pPr>
      <w:r>
        <w:rPr>
          <w:b/>
          <w:bCs/>
        </w:rPr>
        <w:t xml:space="preserve">ComponentIDs split</w:t>
      </w:r>
      <w:r>
        <w:t xml:space="preserve"> — secops_visualizations.ComponentIDs is the trickiest part of the import. Don't skip the split-to-rows step.</w:t>
      </w:r>
    </w:p>
    <w:p>
      <w:pPr>
        <w:pStyle w:val="ListParagraph"/>
        <w:numPr>
          <w:ilvl w:val="0"/>
          <w:numId w:val="2"/>
        </w:numPr>
        <w:spacing w:after="30" w:before="30" w:line="280"/>
      </w:pPr>
      <w:r>
        <w:rPr>
          <w:b/>
          <w:bCs/>
        </w:rPr>
        <w:t xml:space="preserve">Cloud Provider as filter</w:t>
      </w:r>
      <w:r>
        <w:t xml:space="preserve"> — promote it to its own dimension if you need cross-table filtering by cloud (recommended)</w:t>
      </w:r>
    </w:p>
    <w:p>
      <w:pPr>
        <w:pStyle w:val="Heading2"/>
        <w:spacing w:after="120" w:before="280"/>
      </w:pPr>
      <w:r>
        <w:t xml:space="preserve">8.3 What I genuinely recommend</w: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Style w:val="ListParagraph"/>
        <w:numPr>
          <w:ilvl w:val="0"/>
          <w:numId w:val="3"/>
        </w:numPr>
        <w:spacing w:after="30" w:before="30" w:line="280"/>
      </w:pPr>
      <w:r>
        <w:t xml:space="default"/>
      </w:r>
    </w:p>
    <w:p>
      <w:pPr>
        <w:pBdr>
          <w:left w:val="single" w:color="F4A261" w:sz="18" w:space="8"/>
        </w:pBdr>
        <w:shd w:fill="FFF8F0" w:val="clear"/>
        <w:spacing w:after="120" w:before="120" w:line="280"/>
        <w:ind w:left="240"/>
      </w:pPr>
      <w:r>
        <w:rPr>
          <w:b/>
          <w:bCs/>
        </w:rPr>
        <w:t xml:space="preserve">Final note: </w:t>
      </w:r>
      <w:r>
        <w:t xml:space="preserve">If you build this and find errors in the spec, please report back. I want to update the document for v1.1 based on real Power BI implementation feedback. Treat this as v1.0 — useful starting point, not authoritative.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color w:val="9CA3AF"/>
        <w:sz w:val="18"/>
        <w:szCs w:val="18"/>
      </w:rPr>
      <w:t xml:space="preserve">Cloud Security Advisor — Power BI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0B0D12"/>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F4A261"/>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Security Advisor — Power BI Integration Guide</dc:title>
  <dc:creator>Cloud Security Advisor</dc:creator>
  <cp:lastModifiedBy>Un-named</cp:lastModifiedBy>
  <cp:revision>1</cp:revision>
  <dcterms:created xsi:type="dcterms:W3CDTF">2026-04-29T08:37:45.996Z</dcterms:created>
  <dcterms:modified xsi:type="dcterms:W3CDTF">2026-04-29T08:37:45.997Z</dcterms:modified>
</cp:coreProperties>
</file>

<file path=docProps/custom.xml><?xml version="1.0" encoding="utf-8"?>
<Properties xmlns="http://schemas.openxmlformats.org/officeDocument/2006/custom-properties" xmlns:vt="http://schemas.openxmlformats.org/officeDocument/2006/docPropsVTypes"/>
</file>