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b/>
          <w:bCs/>
          <w:color w:val="0B0D12"/>
          <w:sz w:val="64"/>
          <w:szCs w:val="64"/>
        </w:rPr>
        <w:t xml:space="preserve">Cloud Security Advisor</w:t>
      </w:r>
    </w:p>
    <w:p>
      <w:pPr>
        <w:spacing w:after="1200"/>
        <w:jc w:val="center"/>
      </w:pPr>
      <w:r>
        <w:rPr>
          <w:i/>
          <w:iCs/>
          <w:color w:val="F4A261"/>
          <w:sz w:val="40"/>
          <w:szCs w:val="40"/>
        </w:rPr>
        <w:t xml:space="preserve">User Guide</w:t>
      </w:r>
    </w:p>
    <w:p>
      <w:pPr>
        <w:spacing w:after="200"/>
        <w:jc w:val="center"/>
      </w:pPr>
      <w:r>
        <w:rPr>
          <w:color w:val="6B7280"/>
          <w:sz w:val="22"/>
          <w:szCs w:val="22"/>
        </w:rPr>
        <w:t xml:space="preserve">133 components  •  403 detections  •  644 log events  •  13 SecOps dashboards  •  25 sheets</w:t>
      </w:r>
    </w:p>
    <w:p>
      <w:pPr>
        <w:spacing w:after="4000"/>
        <w:jc w:val="center"/>
      </w:pPr>
      <w:r>
        <w:rPr>
          <w:color w:val="6B7280"/>
          <w:sz w:val="22"/>
          <w:szCs w:val="22"/>
        </w:rPr>
        <w:t xml:space="preserve">A self-contained cloud security advisory tool for AWS, Azure, and GCP</w:t>
      </w:r>
    </w:p>
    <w:p>
      <w:pPr>
        <w:jc w:val="center"/>
      </w:pPr>
      <w:r>
        <w:rPr>
          <w:color w:val="9CA3AF"/>
          <w:sz w:val="20"/>
          <w:szCs w:val="20"/>
        </w:rPr>
        <w:t xml:space="preserve">April 2026  •  v1.0</w:t>
      </w:r>
    </w:p>
    <w:p>
      <w:r>
        <w:br w:type="page"/>
      </w:r>
    </w:p>
    <w:p>
      <w:pPr>
        <w:pStyle w:val="Heading1"/>
        <w:spacing w:after="120" w:before="0"/>
      </w:pPr>
      <w:r>
        <w:t xml:space="preserve">1. What this tool is</w:t>
      </w:r>
    </w:p>
    <w:p>
      <w:pPr>
        <w:spacing w:after="60" w:before="60" w:line="280"/>
      </w:pPr>
      <w:r>
        <w:t xml:space="preserve">The Cloud Security Advisor is a single self-contained HTML file that gives a cloud security advisor a working canvas, a customer-facing report, dataset exploration, SecOps query reference, and an admin editor — all in one offline tool.</w:t>
      </w:r>
    </w:p>
    <w:p>
      <w:pPr>
        <w:spacing w:after="60" w:before="60" w:line="280"/>
      </w:pPr>
      <w:r>
        <w:t xml:space="preserve">It is built around three views you switch between depending on what you are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View</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What it is for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Architecture Designer</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Drag components onto a canvas, design a customer's cloud architecture, generate the customer report below it. The primary surface for active engagements.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Dashboard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Cross-filtered exploration of the entire dataset. Use this for internal research, gap analysis, or reference lookups when prepping for a customer call.</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SecOps Dashboards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13 must-have SOC dashboards with KQL (Sentinel) and YARA-L (Chronicle) queries. Each visualization shows a sample preview and offers copy-to-clipboard buttons.</w:t>
            </w:r>
          </w:p>
        </w:tc>
      </w:tr>
    </w:tbl>
    <w:p>
      <w:pPr>
        <w:spacing w:after="60" w:before="60" w:line="280"/>
      </w:pPr>
      <w:r>
        <w:t xml:space="preserve">Plus an Admin overlay (button in the header) for full CRUD on all 25 data sheets.</w:t>
      </w:r>
    </w:p>
    <w:p>
      <w:pPr>
        <w:pStyle w:val="Heading2"/>
        <w:spacing w:after="120" w:before="280"/>
      </w:pPr>
      <w:r>
        <w:t xml:space="preserve">1.1 What is in the dataset</w:t>
      </w:r>
    </w:p>
    <w:p>
      <w:pPr>
        <w:spacing w:after="60" w:before="60" w:line="280"/>
      </w:pPr>
      <w:r>
        <w:t xml:space="preserve">133 cloud components across AWS, Azure, and GCP, each with around 65 fields covering risk score, MITRE techniques, detection queries, defense tools, customer pushback responses, real breach examples, and least privilege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Sheet</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Contents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components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133 rows. Core component definitions with full advisory depth.</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detections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403 rows. KQL/SPL/Cloud Logging queries per detection.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defense_tools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1,953 rows. Native + Third-Party + OSS tools per component.</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component_mitre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833 rows linking components to MITRE techniques.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log_events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644 rows with Meaningfulness tags (MUST/Should/Nice-to-have), Why-It-Matters rationale, Typical Volume, and Sample JSON Payload for the 142 MUST-tagged events.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log_sources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30 rows. Cross-component log source taxonomy (CloudTrail, Activity Log, Cloud Audit Logs, etc.) with cost tier, default-on, top events to alert 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secops_dashboards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13 rows. Must-have SOC dashboards.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secops_visualizations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63 rows. Visualizations with KQL + YARA-L queries, confidence tags, component cross-references.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compliance_mappings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1,876 rows. Component → compliance framework mappings.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+ 16 more reference sheets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Threat actors, breaches, scenarios, STRIDE, MITRE reference, playbooks, retention, etc.</w:t>
            </w:r>
          </w:p>
        </w:tc>
      </w:tr>
    </w:tbl>
    <w:p>
      <w:pPr>
        <w:pStyle w:val="Heading2"/>
        <w:spacing w:after="120" w:before="280"/>
      </w:pPr>
      <w:r>
        <w:t xml:space="preserve">1.2 What you receive</w:t>
      </w:r>
    </w:p>
    <w:p>
      <w:pPr>
        <w:pStyle w:val="ListParagraph"/>
        <w:numPr>
          <w:ilvl w:val="0"/>
          <w:numId w:val="2"/>
        </w:numPr>
        <w:spacing w:after="30" w:before="30" w:line="280"/>
      </w:pPr>
      <w:r>
        <w:rPr>
          <w:b/>
          <w:bCs/>
        </w:rPr>
        <w:t xml:space="preserve">Cloud-Security-Advisor.html</w:t>
      </w:r>
      <w:r>
        <w:t xml:space="preserve"> — the tool. Approximately 4.3 MB. Plug-and-play.</w:t>
      </w:r>
    </w:p>
    <w:p>
      <w:pPr>
        <w:pStyle w:val="ListParagraph"/>
        <w:numPr>
          <w:ilvl w:val="0"/>
          <w:numId w:val="2"/>
        </w:numPr>
        <w:spacing w:after="30" w:before="30" w:line="280"/>
      </w:pPr>
      <w:r>
        <w:rPr>
          <w:b/>
          <w:bCs/>
        </w:rPr>
        <w:t xml:space="preserve">Cloud-Security-Advisor-Dataset.xlsx</w:t>
      </w:r>
      <w:r>
        <w:t xml:space="preserve"> — the dataset. Approximately 660 KB.</w:t>
      </w:r>
    </w:p>
    <w:p>
      <w:pPr>
        <w:pStyle w:val="ListParagraph"/>
        <w:numPr>
          <w:ilvl w:val="0"/>
          <w:numId w:val="2"/>
        </w:numPr>
        <w:spacing w:after="30" w:before="30" w:line="280"/>
      </w:pPr>
      <w:r>
        <w:rPr>
          <w:b/>
          <w:bCs/>
        </w:rPr>
        <w:t xml:space="preserve">Cloud-Security-Advisor-User-Guide.docx</w:t>
      </w:r>
      <w:r>
        <w:t xml:space="preserve"> — this document.</w:t>
      </w:r>
    </w:p>
    <w:p>
      <w:pPr>
        <w:pStyle w:val="ListParagraph"/>
        <w:numPr>
          <w:ilvl w:val="0"/>
          <w:numId w:val="2"/>
        </w:numPr>
        <w:spacing w:after="30" w:before="30" w:line="280"/>
      </w:pPr>
      <w:r>
        <w:rPr>
          <w:b/>
          <w:bCs/>
        </w:rPr>
        <w:t xml:space="preserve">Cloud-Security-Advisor-LLM-Integration-Guide.docx</w:t>
      </w:r>
      <w:r>
        <w:t xml:space="preserve"> — RAG integration with working Python code.</w:t>
      </w:r>
    </w:p>
    <w:p>
      <w:pPr>
        <w:pStyle w:val="ListParagraph"/>
        <w:numPr>
          <w:ilvl w:val="0"/>
          <w:numId w:val="2"/>
        </w:numPr>
        <w:spacing w:after="30" w:before="30" w:line="280"/>
      </w:pPr>
      <w:r>
        <w:rPr>
          <w:b/>
          <w:bCs/>
        </w:rPr>
        <w:t xml:space="preserve">Cloud-Security-Advisor-PowerBI-Guide.docx</w:t>
      </w:r>
      <w:r>
        <w:t xml:space="preserve"> — Power BI report build specification.</w:t>
      </w:r>
    </w:p>
    <w:p>
      <w:pPr>
        <w:pStyle w:val="ListParagraph"/>
        <w:numPr>
          <w:ilvl w:val="0"/>
          <w:numId w:val="2"/>
        </w:numPr>
        <w:spacing w:after="30" w:before="30" w:line="280"/>
      </w:pPr>
      <w:r>
        <w:rPr>
          <w:b/>
          <w:bCs/>
        </w:rPr>
        <w:t xml:space="preserve">Cloud-Security-Advisor.zip</w:t>
      </w:r>
      <w:r>
        <w:t xml:space="preserve"> — all files bundled (1.7 MB).</w:t>
      </w:r>
    </w:p>
    <w:p>
      <w:pPr>
        <w:pBdr>
          <w:left w:val="single" w:color="F4A261" w:sz="18" w:space="8"/>
        </w:pBdr>
        <w:shd w:fill="FFF8F0" w:val="clear"/>
        <w:spacing w:after="120" w:before="120" w:line="280"/>
        <w:ind w:left="240"/>
      </w:pPr>
      <w:r>
        <w:rPr>
          <w:b/>
          <w:bCs/>
        </w:rPr>
        <w:t xml:space="preserve">Important: </w:t>
      </w:r>
      <w:r>
        <w:t xml:space="preserve">The HTML and the XLSX both contain the full dataset. They are independent copies. The HTML is the operational tool; the XLSX is for bulk editing and reference.</w:t>
      </w:r>
    </w:p>
    <w:p>
      <w:pPr>
        <w:pStyle w:val="Heading1"/>
        <w:pageBreakBefore/>
        <w:spacing w:after="120" w:before="360"/>
      </w:pPr>
      <w:r>
        <w:t xml:space="preserve">2. Getting started</w:t>
      </w:r>
    </w:p>
    <w:p>
      <w:pPr>
        <w:pStyle w:val="Heading2"/>
        <w:spacing w:after="120" w:before="280"/>
      </w:pPr>
      <w:r>
        <w:t xml:space="preserve">2.1 Opening the tool</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Bdr>
          <w:left w:val="single" w:color="F4A261" w:sz="18" w:space="8"/>
        </w:pBdr>
        <w:shd w:fill="FFF8F0" w:val="clear"/>
        <w:spacing w:after="120" w:before="120" w:line="280"/>
        <w:ind w:left="240"/>
      </w:pPr>
      <w:r>
        <w:rPr>
          <w:b/>
          <w:bCs/>
        </w:rPr>
        <w:t xml:space="preserve">Browser support: </w:t>
      </w:r>
      <w:r>
        <w:t xml:space="preserve">Tested on Chrome, Edge, Safari, and Firefox. Recommended: Chrome on desktop. Mobile browsers will work for viewing but the architecture canvas is desktop-only by design.</w:t>
      </w:r>
    </w:p>
    <w:p>
      <w:pPr>
        <w:pStyle w:val="Heading2"/>
        <w:spacing w:after="120" w:before="280"/>
      </w:pPr>
      <w:r>
        <w:t xml:space="preserve">2.2 First time orientation</w:t>
      </w:r>
    </w:p>
    <w:p>
      <w:pPr>
        <w:spacing w:after="60" w:before="60" w:line="280"/>
      </w:pPr>
      <w:r>
        <w:t xml:space="preserve">When the page first loads, you see:</w: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Heading2"/>
        <w:spacing w:after="120" w:before="280"/>
      </w:pPr>
      <w:r>
        <w:t xml:space="preserve">2.3 Filling in the metadata</w:t>
      </w:r>
    </w:p>
    <w:p>
      <w:pPr>
        <w:spacing w:after="60" w:before="60" w:line="280"/>
      </w:pPr>
      <w:r>
        <w:t xml:space="preserve">Before generating a report for a customer, fill in the metadata bar:</w:t>
      </w:r>
    </w:p>
    <w:p>
      <w:pPr>
        <w:pStyle w:val="ListParagraph"/>
        <w:numPr>
          <w:ilvl w:val="0"/>
          <w:numId w:val="2"/>
        </w:numPr>
        <w:spacing w:after="30" w:before="30" w:line="280"/>
      </w:pPr>
      <w:r>
        <w:rPr>
          <w:b/>
          <w:bCs/>
        </w:rPr>
        <w:t xml:space="preserve">Customer name</w:t>
      </w:r>
      <w:r>
        <w:t xml:space="preserve"> — appears on the report cover page</w:t>
      </w:r>
    </w:p>
    <w:p>
      <w:pPr>
        <w:pStyle w:val="ListParagraph"/>
        <w:numPr>
          <w:ilvl w:val="0"/>
          <w:numId w:val="2"/>
        </w:numPr>
        <w:spacing w:after="30" w:before="30" w:line="280"/>
      </w:pPr>
      <w:r>
        <w:rPr>
          <w:b/>
          <w:bCs/>
        </w:rPr>
        <w:t xml:space="preserve">Report title</w:t>
      </w:r>
      <w:r>
        <w:t xml:space="preserve"> — e.g., 'Q1 2026 Cloud Security Assessment'</w:t>
      </w:r>
    </w:p>
    <w:p>
      <w:pPr>
        <w:pStyle w:val="ListParagraph"/>
        <w:numPr>
          <w:ilvl w:val="0"/>
          <w:numId w:val="2"/>
        </w:numPr>
        <w:spacing w:after="30" w:before="30" w:line="280"/>
      </w:pPr>
      <w:r>
        <w:rPr>
          <w:b/>
          <w:bCs/>
        </w:rPr>
        <w:t xml:space="preserve">Your name / firm</w:t>
      </w:r>
      <w:r>
        <w:t xml:space="preserve"> — appears on cover and footer</w:t>
      </w:r>
    </w:p>
    <w:p>
      <w:pPr>
        <w:pStyle w:val="ListParagraph"/>
        <w:numPr>
          <w:ilvl w:val="0"/>
          <w:numId w:val="2"/>
        </w:numPr>
        <w:spacing w:after="30" w:before="30" w:line="280"/>
      </w:pPr>
      <w:r>
        <w:rPr>
          <w:b/>
          <w:bCs/>
        </w:rPr>
        <w:t xml:space="preserve">Engagement date</w:t>
      </w:r>
      <w:r>
        <w:t xml:space="preserve"> — date of the assessment</w:t>
      </w:r>
    </w:p>
    <w:p>
      <w:pPr>
        <w:pStyle w:val="Heading1"/>
        <w:pageBreakBefore/>
        <w:spacing w:after="120" w:before="360"/>
      </w:pPr>
      <w:r>
        <w:t xml:space="preserve">3. Using the Architecture Designer</w:t>
      </w:r>
    </w:p>
    <w:p>
      <w:pPr>
        <w:pStyle w:val="Heading2"/>
        <w:spacing w:after="120" w:before="280"/>
      </w:pPr>
      <w:r>
        <w:t xml:space="preserve">3.1 The canvas concept</w:t>
      </w:r>
    </w:p>
    <w:p>
      <w:pPr>
        <w:spacing w:after="60" w:before="60" w:line="280"/>
      </w:pPr>
      <w:r>
        <w:t xml:space="preserve">The canvas is where you build the customer's architecture by dragging components into Defense Layer columns. The columns flow left-to-right in security-natural order:</w:t>
      </w:r>
    </w:p>
    <w:p>
      <w:pPr>
        <w:spacing w:after="60" w:before="60" w:line="280"/>
      </w:pPr>
      <w:r>
        <w:rPr>
          <w:b/>
          <w:bCs/>
        </w:rPr>
        <w:t xml:space="preserve">Identity → Network → OS / Compute → Application → Data → Detection</w:t>
      </w:r>
    </w:p>
    <w:p>
      <w:pPr>
        <w:spacing w:after="60" w:before="60" w:line="280"/>
      </w:pPr>
      <w:r>
        <w:t xml:space="preserve">Components auto-arrange into these columns based on their primary Defense Layer. You can drag any component to override the placement — once you do, it becomes 'pinned' (small amber dot in corner) and will not move when more components are added.</w:t>
      </w:r>
    </w:p>
    <w:p>
      <w:pPr>
        <w:pStyle w:val="Heading2"/>
        <w:spacing w:after="120" w:before="280"/>
      </w:pPr>
      <w:r>
        <w:t xml:space="preserve">3.2 Adding components</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Bdr>
          <w:left w:val="single" w:color="F4A261" w:sz="18" w:space="8"/>
        </w:pBdr>
        <w:shd w:fill="FFF8F0" w:val="clear"/>
        <w:spacing w:after="120" w:before="120" w:line="280"/>
        <w:ind w:left="240"/>
      </w:pPr>
      <w:r>
        <w:rPr>
          <w:b/>
          <w:bCs/>
        </w:rPr>
        <w:t xml:space="preserve">Tip: </w:t>
      </w:r>
      <w:r>
        <w:t xml:space="preserve">Quick-pick templates below the canvas (AWS Startup, Azure Enterprise + MS Security, etc.) drop in a complete starter architecture you can then customize.</w:t>
      </w:r>
    </w:p>
    <w:p>
      <w:pPr>
        <w:pStyle w:val="Heading2"/>
        <w:spacing w:after="120" w:before="280"/>
      </w:pPr>
      <w:r>
        <w:t xml:space="preserve">3.3 Suggested connections</w:t>
      </w:r>
    </w:p>
    <w:p>
      <w:pPr>
        <w:spacing w:after="60" w:before="60" w:line="280"/>
      </w:pPr>
      <w:r>
        <w:t xml:space="preserve">After auto-layout runs, you will see grey dotted lines between adjacent layers. These are suggested connections. You have three options for each:</w:t>
      </w:r>
    </w:p>
    <w:p>
      <w:pPr>
        <w:pStyle w:val="ListParagraph"/>
        <w:numPr>
          <w:ilvl w:val="0"/>
          <w:numId w:val="2"/>
        </w:numPr>
        <w:spacing w:after="30" w:before="30" w:line="280"/>
      </w:pPr>
      <w:r>
        <w:rPr>
          <w:b/>
          <w:bCs/>
        </w:rPr>
        <w:t xml:space="preserve">Click the dotted line</w:t>
      </w:r>
      <w:r>
        <w:t xml:space="preserve"> — accepts the suggestion. Line becomes solid.</w:t>
      </w:r>
    </w:p>
    <w:p>
      <w:pPr>
        <w:pStyle w:val="ListParagraph"/>
        <w:numPr>
          <w:ilvl w:val="0"/>
          <w:numId w:val="2"/>
        </w:numPr>
        <w:spacing w:after="30" w:before="30" w:line="280"/>
      </w:pPr>
      <w:r>
        <w:rPr>
          <w:b/>
          <w:bCs/>
        </w:rPr>
        <w:t xml:space="preserve">Click the small × at the line's midpoint</w:t>
      </w:r>
      <w:r>
        <w:t xml:space="preserve"> — dismisses that specific suggestion.</w:t>
      </w:r>
    </w:p>
    <w:p>
      <w:pPr>
        <w:pStyle w:val="ListParagraph"/>
        <w:numPr>
          <w:ilvl w:val="0"/>
          <w:numId w:val="2"/>
        </w:numPr>
        <w:spacing w:after="30" w:before="30" w:line="280"/>
      </w:pPr>
      <w:r>
        <w:rPr>
          <w:b/>
          <w:bCs/>
        </w:rPr>
        <w:t xml:space="preserve">Ignore it</w:t>
      </w:r>
      <w:r>
        <w:t xml:space="preserve"> — suggestions are not exported to the PDF, only accepted (solid) connections are.</w:t>
      </w:r>
    </w:p>
    <w:p>
      <w:pPr>
        <w:pStyle w:val="Heading2"/>
        <w:spacing w:after="120" w:before="280"/>
      </w:pPr>
      <w:r>
        <w:t xml:space="preserve">3.4 Editing risk per component</w:t>
      </w:r>
    </w:p>
    <w:p>
      <w:pPr>
        <w:spacing w:after="60" w:before="60" w:line="280"/>
      </w:pPr>
      <w:r>
        <w:t xml:space="preserve">Each node shows a Risk badge (e.g., 'Risk 9/10'). Click the badge to override the default for this customer's specific instance — useful when you know the customer has compensating controls or unusual exposure.</w:t>
      </w:r>
    </w:p>
    <w:p>
      <w:pPr>
        <w:pStyle w:val="Heading2"/>
        <w:spacing w:after="120" w:before="280"/>
      </w:pPr>
      <w:r>
        <w:t xml:space="preserve">3.5 Generating the customer report</w:t>
      </w:r>
    </w:p>
    <w:p>
      <w:pPr>
        <w:spacing w:after="60" w:before="60" w:line="280"/>
      </w:pPr>
      <w:r>
        <w:t xml:space="preserve">As soon as you have at least one component on the canvas, the report below the canvas auto-generates. It includes cover page, table of contents, executive summary, risk overview chart, MITRE coverage matrix, per-component advisory cards, threat actor profiles, public breach examples, detection coverage table, defense tools recommendations, and IR playbook references.</w:t>
      </w:r>
    </w:p>
    <w:p>
      <w:pPr>
        <w:pStyle w:val="Heading2"/>
        <w:spacing w:after="120" w:before="280"/>
      </w:pPr>
      <w:r>
        <w:t xml:space="preserve">3.6 Printing to PDF</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rPr>
          <w:b/>
          <w:bCs/>
        </w:rPr>
        <w:t xml:space="preserve">IMPORTANT:</w:t>
      </w:r>
      <w:r>
        <w:t xml:space="preserve"> enable 'Background graphics' in More settings (so accent colors render)</w:t>
      </w:r>
    </w:p>
    <w:p>
      <w:pPr>
        <w:pStyle w:val="ListParagraph"/>
        <w:numPr>
          <w:ilvl w:val="0"/>
          <w:numId w:val="3"/>
        </w:numPr>
        <w:spacing w:after="30" w:before="30" w:line="280"/>
      </w:pPr>
      <w:r>
        <w:t xml:space="default"/>
      </w:r>
    </w:p>
    <w:p>
      <w:pPr>
        <w:pBdr>
          <w:left w:val="single" w:color="F4A261" w:sz="18" w:space="8"/>
        </w:pBdr>
        <w:shd w:fill="FFF8F0" w:val="clear"/>
        <w:spacing w:after="120" w:before="120" w:line="280"/>
        <w:ind w:left="240"/>
      </w:pPr>
      <w:r>
        <w:rPr>
          <w:b/>
          <w:bCs/>
        </w:rPr>
        <w:t xml:space="preserve">PDF print quality: </w:t>
      </w:r>
      <w:r>
        <w:t xml:space="preserve">The print stylesheet was refined in v1.0 with stronger typography (Fraunces serif headers, Inter body), better section dividers, cleaner tables, and a professional cover page with amber accent bar. Always preview the PDF before sending to a customer.</w:t>
      </w:r>
    </w:p>
    <w:p>
      <w:pPr>
        <w:pStyle w:val="Heading1"/>
        <w:pageBreakBefore/>
        <w:spacing w:after="120" w:before="360"/>
      </w:pPr>
      <w:r>
        <w:t xml:space="preserve">4. Using the Dashboard</w:t>
      </w:r>
    </w:p>
    <w:p>
      <w:pPr>
        <w:spacing w:after="60" w:before="60" w:line="280"/>
      </w:pPr>
      <w:r>
        <w:t xml:space="preserve">The Dashboard is for exploring the dataset itself, not for customer engagements. Use it when researching MITRE techniques per cloud, looking up which defense tools cover most components, identifying coverage gaps, or pulling reference info before a customer call.</w:t>
      </w:r>
    </w:p>
    <w:p>
      <w:pPr>
        <w:pStyle w:val="Heading2"/>
        <w:spacing w:after="120" w:before="280"/>
      </w:pPr>
      <w:r>
        <w:t xml:space="preserve">4.1 The view</w:t>
      </w:r>
    </w:p>
    <w:p>
      <w:pPr>
        <w:spacing w:after="60" w:before="60" w:line="280"/>
      </w:pPr>
      <w:r>
        <w:t xml:space="preserve">Click the 'Dashboard' tab. You see:</w:t>
      </w:r>
    </w:p>
    <w:p>
      <w:pPr>
        <w:pStyle w:val="ListParagraph"/>
        <w:numPr>
          <w:ilvl w:val="0"/>
          <w:numId w:val="2"/>
        </w:numPr>
        <w:spacing w:after="30" w:before="30" w:line="280"/>
      </w:pPr>
      <w:r>
        <w:rPr>
          <w:b/>
          <w:bCs/>
        </w:rPr>
        <w:t xml:space="preserve">5 slicers</w:t>
      </w:r>
      <w:r>
        <w:t xml:space="preserve"> — Cloud, Category, Defense Layer, Risk Tier, Detection Severity</w:t>
      </w:r>
    </w:p>
    <w:p>
      <w:pPr>
        <w:pStyle w:val="ListParagraph"/>
        <w:numPr>
          <w:ilvl w:val="0"/>
          <w:numId w:val="2"/>
        </w:numPr>
        <w:spacing w:after="30" w:before="30" w:line="280"/>
      </w:pPr>
      <w:r>
        <w:rPr>
          <w:b/>
          <w:bCs/>
        </w:rPr>
        <w:t xml:space="preserve">6 KPIs</w:t>
      </w:r>
      <w:r>
        <w:t xml:space="preserve"> — live counts of components, average risk, critical/high detections, defense tools, MITRE techniques in scope</w:t>
      </w:r>
    </w:p>
    <w:p>
      <w:pPr>
        <w:pStyle w:val="ListParagraph"/>
        <w:numPr>
          <w:ilvl w:val="0"/>
          <w:numId w:val="2"/>
        </w:numPr>
        <w:spacing w:after="30" w:before="30" w:line="280"/>
      </w:pPr>
      <w:r>
        <w:rPr>
          <w:b/>
          <w:bCs/>
        </w:rPr>
        <w:t xml:space="preserve">8 visualization tiles</w:t>
      </w:r>
      <w:r>
        <w:t xml:space="preserve"> — distribution charts and matrices that all cross-filter</w:t>
      </w:r>
    </w:p>
    <w:p>
      <w:pPr>
        <w:pStyle w:val="Heading2"/>
        <w:spacing w:after="120" w:before="280"/>
      </w:pPr>
      <w:r>
        <w:t xml:space="preserve">4.2 Cross-filtering</w:t>
      </w:r>
    </w:p>
    <w:p>
      <w:pPr>
        <w:spacing w:after="60" w:before="60" w:line="280"/>
      </w:pPr>
      <w:r>
        <w:t xml:space="preserve">Click any slicer pill or chart bar/segment to filter. Multiple selections in different slicers are AND-logic; multiple in the same slicer are OR-logic. Example: click 'Azure' in Cloud, then 'Critical' in Risk Tier. You see exactly the Azure components with critical risk.</w:t>
      </w:r>
    </w:p>
    <w:p>
      <w:pPr>
        <w:pStyle w:val="Heading1"/>
        <w:pageBreakBefore/>
        <w:spacing w:after="120" w:before="360"/>
      </w:pPr>
      <w:r>
        <w:t xml:space="preserve">5. Using SecOps Dashboards</w:t>
      </w:r>
    </w:p>
    <w:p>
      <w:pPr>
        <w:spacing w:after="60" w:before="60" w:line="280"/>
      </w:pPr>
      <w:r>
        <w:t xml:space="preserve">Customer-facing query reference. 13 must-have SOC dashboards, 63 visualizations, with KQL (Sentinel) + YARA-L (Chronicle) queries for each.</w:t>
      </w:r>
    </w:p>
    <w:p>
      <w:pPr>
        <w:pStyle w:val="Heading2"/>
        <w:spacing w:after="120" w:before="280"/>
      </w:pPr>
      <w:r>
        <w:t xml:space="preserve">5.1 The 13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Dashboard</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User Threats &amp; Identity Risk</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Privileged Access Monitoring</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Network Threats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Endpoint &amp; Host Threats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Data Exfiltration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Cloud Misconfiguration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7</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Email &amp; Phishing</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8</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Threat Intelligence Matches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9</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Compliance Posture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10</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Incident Response Operations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11</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Container Security</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Insider Threat</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13</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AI/ML Workload Security</w:t>
            </w:r>
          </w:p>
        </w:tc>
      </w:tr>
    </w:tbl>
    <w:p>
      <w:pPr>
        <w:pStyle w:val="Heading2"/>
        <w:spacing w:after="120" w:before="280"/>
      </w:pPr>
      <w:r>
        <w:t xml:space="preserve">5.2 Per-visualization layout</w:t>
      </w:r>
    </w:p>
    <w:p>
      <w:pPr>
        <w:spacing w:after="60" w:before="60" w:line="280"/>
      </w:pPr>
      <w:r>
        <w:t xml:space="preserve">Click any dashboard card to drill into its visualizations. Each visualization tile shows:</w:t>
      </w:r>
    </w:p>
    <w:p>
      <w:pPr>
        <w:pStyle w:val="ListParagraph"/>
        <w:numPr>
          <w:ilvl w:val="0"/>
          <w:numId w:val="2"/>
        </w:numPr>
        <w:spacing w:after="30" w:before="30" w:line="280"/>
      </w:pPr>
      <w:r>
        <w:rPr>
          <w:b/>
          <w:bCs/>
        </w:rPr>
        <w:t xml:space="preserve">Title and visualization type</w:t>
      </w:r>
      <w:r>
        <w:t xml:space="preserve"> (bar / pie / line / table / scorecard / map)</w:t>
      </w:r>
    </w:p>
    <w:p>
      <w:pPr>
        <w:pStyle w:val="ListParagraph"/>
        <w:numPr>
          <w:ilvl w:val="0"/>
          <w:numId w:val="2"/>
        </w:numPr>
        <w:spacing w:after="30" w:before="30" w:line="280"/>
      </w:pPr>
      <w:r>
        <w:rPr>
          <w:b/>
          <w:bCs/>
        </w:rPr>
        <w:t xml:space="preserve">Why this viz</w:t>
      </w:r>
      <w:r>
        <w:t xml:space="preserve"> — 1-2 sentence rationale</w:t>
      </w:r>
    </w:p>
    <w:p>
      <w:pPr>
        <w:pStyle w:val="ListParagraph"/>
        <w:numPr>
          <w:ilvl w:val="0"/>
          <w:numId w:val="2"/>
        </w:numPr>
        <w:spacing w:after="30" w:before="30" w:line="280"/>
      </w:pPr>
      <w:r>
        <w:rPr>
          <w:b/>
          <w:bCs/>
        </w:rPr>
        <w:t xml:space="preserve">Component pills</w:t>
      </w:r>
      <w:r>
        <w:t xml:space="preserve"> — cross-references to the cloud components</w:t>
      </w:r>
    </w:p>
    <w:p>
      <w:pPr>
        <w:pStyle w:val="ListParagraph"/>
        <w:numPr>
          <w:ilvl w:val="0"/>
          <w:numId w:val="2"/>
        </w:numPr>
        <w:spacing w:after="30" w:before="30" w:line="280"/>
      </w:pPr>
      <w:r>
        <w:rPr>
          <w:b/>
          <w:bCs/>
        </w:rPr>
        <w:t xml:space="preserve">Sample data preview</w:t>
      </w:r>
      <w:r>
        <w:t xml:space="preserve"> — actual rendered chart with anonymized data. Click 'Generate sample' to randomize.</w:t>
      </w:r>
    </w:p>
    <w:p>
      <w:pPr>
        <w:pStyle w:val="ListParagraph"/>
        <w:numPr>
          <w:ilvl w:val="0"/>
          <w:numId w:val="2"/>
        </w:numPr>
        <w:spacing w:after="30" w:before="30" w:line="280"/>
      </w:pPr>
      <w:r>
        <w:rPr>
          <w:b/>
          <w:bCs/>
        </w:rPr>
        <w:t xml:space="preserve">KQL tab</w:t>
      </w:r>
      <w:r>
        <w:t xml:space="preserve"> with confidence pill, required tables, query, Copy button</w:t>
      </w:r>
    </w:p>
    <w:p>
      <w:pPr>
        <w:pStyle w:val="ListParagraph"/>
        <w:numPr>
          <w:ilvl w:val="0"/>
          <w:numId w:val="2"/>
        </w:numPr>
        <w:spacing w:after="30" w:before="30" w:line="280"/>
      </w:pPr>
      <w:r>
        <w:rPr>
          <w:b/>
          <w:bCs/>
        </w:rPr>
        <w:t xml:space="preserve">YARA-L tab</w:t>
      </w:r>
      <w:r>
        <w:t xml:space="preserve"> with the same structure</w:t>
      </w:r>
    </w:p>
    <w:p>
      <w:pPr>
        <w:pStyle w:val="Heading2"/>
        <w:spacing w:after="120" w:before="280"/>
      </w:pPr>
      <w:r>
        <w:t xml:space="preserve">5.3 Confidence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Tag</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Meaning</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High</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Query uses well-documented stable tables. Most likely to work as written.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Medium</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Query is correct in principle but may need adjustment for your customer's specific config.</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Low</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May use uncommon tables, OR YARA-L 2.0 syntax that should be tested in Chronicle. Always carries // VERIFY comment.</w:t>
            </w:r>
          </w:p>
        </w:tc>
      </w:tr>
    </w:tbl>
    <w:p>
      <w:pPr>
        <w:pBdr>
          <w:left w:val="single" w:color="F4A261" w:sz="18" w:space="8"/>
        </w:pBdr>
        <w:shd w:fill="FFF8F0" w:val="clear"/>
        <w:spacing w:after="120" w:before="120" w:line="280"/>
        <w:ind w:left="240"/>
      </w:pPr>
      <w:r>
        <w:rPr>
          <w:b/>
          <w:bCs/>
        </w:rPr>
        <w:t xml:space="preserve">Honest reminder: </w:t>
      </w:r>
      <w:r>
        <w:t xml:space="preserve">Total query confidence as of v1.0: KQL 16 High / 41 Medium / 6 Low. YARA-L 0 High / 11 Medium / 52 Low. All Low YARA-L queries have // VERIFY headers. Test in your customer's actual SIEM before relying on production output.</w:t>
      </w:r>
    </w:p>
    <w:p>
      <w:pPr>
        <w:pStyle w:val="Heading2"/>
        <w:spacing w:after="120" w:before="280"/>
      </w:pPr>
      <w:r>
        <w:t xml:space="preserve">5.4 Sample JSON payloads</w:t>
      </w:r>
    </w:p>
    <w:p>
      <w:pPr>
        <w:spacing w:after="60" w:before="60" w:line="280"/>
      </w:pPr>
      <w:r>
        <w:t xml:space="preserve">All 142 MUST-tagged log events in the log_events sheet now include a Sample JSON Payload field showing exactly what the event looks like in its native format:</w:t>
      </w:r>
    </w:p>
    <w:p>
      <w:pPr>
        <w:pStyle w:val="ListParagraph"/>
        <w:numPr>
          <w:ilvl w:val="0"/>
          <w:numId w:val="2"/>
        </w:numPr>
        <w:spacing w:after="30" w:before="30" w:line="280"/>
      </w:pPr>
      <w:r>
        <w:rPr>
          <w:b/>
          <w:bCs/>
        </w:rPr>
        <w:t xml:space="preserve">AWS events</w:t>
      </w:r>
      <w:r>
        <w:t xml:space="preserve"> — CloudTrail JSON shape</w:t>
      </w:r>
    </w:p>
    <w:p>
      <w:pPr>
        <w:pStyle w:val="ListParagraph"/>
        <w:numPr>
          <w:ilvl w:val="0"/>
          <w:numId w:val="2"/>
        </w:numPr>
        <w:spacing w:after="30" w:before="30" w:line="280"/>
      </w:pPr>
      <w:r>
        <w:rPr>
          <w:b/>
          <w:bCs/>
        </w:rPr>
        <w:t xml:space="preserve">Azure events</w:t>
      </w:r>
      <w:r>
        <w:t xml:space="preserve"> — Activity Log / Audit Log / Sign-in Logs shape</w:t>
      </w:r>
    </w:p>
    <w:p>
      <w:pPr>
        <w:pStyle w:val="ListParagraph"/>
        <w:numPr>
          <w:ilvl w:val="0"/>
          <w:numId w:val="2"/>
        </w:numPr>
        <w:spacing w:after="30" w:before="30" w:line="280"/>
      </w:pPr>
      <w:r>
        <w:rPr>
          <w:b/>
          <w:bCs/>
        </w:rPr>
        <w:t xml:space="preserve">GCP events</w:t>
      </w:r>
      <w:r>
        <w:t xml:space="preserve"> — Cloud Audit Logs protoPayload shape</w:t>
      </w:r>
    </w:p>
    <w:p>
      <w:pPr>
        <w:pStyle w:val="ListParagraph"/>
        <w:numPr>
          <w:ilvl w:val="0"/>
          <w:numId w:val="2"/>
        </w:numPr>
        <w:spacing w:after="30" w:before="30" w:line="280"/>
      </w:pPr>
      <w:r>
        <w:rPr>
          <w:b/>
          <w:bCs/>
        </w:rPr>
        <w:t xml:space="preserve">Kubernetes events</w:t>
      </w:r>
      <w:r>
        <w:t xml:space="preserve"> — k8s audit log shape</w:t>
      </w:r>
    </w:p>
    <w:p>
      <w:pPr>
        <w:spacing w:after="60" w:before="60" w:line="280"/>
      </w:pPr>
      <w:r>
        <w:t xml:space="preserve">All anonymized using TEST-NET CIDRs (RFC 5737) and example.com (RFC 6761). Use these in customer demos to illustrate exactly what the log entry will look like when the event fires.</w:t>
      </w:r>
    </w:p>
    <w:p>
      <w:pPr>
        <w:pStyle w:val="Heading1"/>
        <w:pageBreakBefore/>
        <w:spacing w:after="120" w:before="360"/>
      </w:pPr>
      <w:r>
        <w:t xml:space="preserve">6. Using Admin Mode</w:t>
      </w:r>
    </w:p>
    <w:p>
      <w:pPr>
        <w:pBdr>
          <w:left w:val="single" w:color="F4A261" w:sz="18" w:space="8"/>
        </w:pBdr>
        <w:shd w:fill="FFF8F0" w:val="clear"/>
        <w:spacing w:after="120" w:before="120" w:line="280"/>
        <w:ind w:left="240"/>
      </w:pPr>
      <w:r>
        <w:rPr>
          <w:b/>
          <w:bCs/>
        </w:rPr>
        <w:t xml:space="preserve">When to use Admin Mode: </w:t>
      </w:r>
      <w:r>
        <w:t xml:space="preserve">Admin is for editing the dataset itself — adding new components, fixing typos, updating queries. It is not for customer engagement notes (use the canvas + report for that).</w:t>
      </w:r>
    </w:p>
    <w:p>
      <w:pPr>
        <w:pStyle w:val="Heading2"/>
        <w:spacing w:after="120" w:before="280"/>
      </w:pPr>
      <w:r>
        <w:t xml:space="preserve">6.1 Opening Admin</w:t>
      </w:r>
    </w:p>
    <w:p>
      <w:pPr>
        <w:spacing w:after="60" w:before="60" w:line="280"/>
      </w:pPr>
      <w:r>
        <w:t xml:space="preserve">Click the 'Admin' button in the header. A panel slides in from the right covering ~80% of the screen. Closing it returns to whatever view you were on.</w:t>
      </w:r>
    </w:p>
    <w:p>
      <w:pPr>
        <w:pStyle w:val="Heading2"/>
        <w:spacing w:after="120" w:before="280"/>
      </w:pPr>
      <w:r>
        <w:t xml:space="preserve">6.2 The interface</w:t>
      </w:r>
    </w:p>
    <w:p>
      <w:pPr>
        <w:pStyle w:val="ListParagraph"/>
        <w:numPr>
          <w:ilvl w:val="0"/>
          <w:numId w:val="2"/>
        </w:numPr>
        <w:spacing w:after="30" w:before="30" w:line="280"/>
      </w:pPr>
      <w:r>
        <w:rPr>
          <w:b/>
          <w:bCs/>
        </w:rPr>
        <w:t xml:space="preserve">Sheet selector</w:t>
      </w:r>
      <w:r>
        <w:t xml:space="preserve"> — dropdown listing all 25 sheets</w:t>
      </w:r>
    </w:p>
    <w:p>
      <w:pPr>
        <w:pStyle w:val="ListParagraph"/>
        <w:numPr>
          <w:ilvl w:val="0"/>
          <w:numId w:val="2"/>
        </w:numPr>
        <w:spacing w:after="30" w:before="30" w:line="280"/>
      </w:pPr>
      <w:r>
        <w:rPr>
          <w:b/>
          <w:bCs/>
        </w:rPr>
        <w:t xml:space="preserve">Filter box</w:t>
      </w:r>
      <w:r>
        <w:t xml:space="preserve"> — narrows rows to those matching your text</w:t>
      </w:r>
    </w:p>
    <w:p>
      <w:pPr>
        <w:pStyle w:val="ListParagraph"/>
        <w:numPr>
          <w:ilvl w:val="0"/>
          <w:numId w:val="2"/>
        </w:numPr>
        <w:spacing w:after="30" w:before="30" w:line="280"/>
      </w:pPr>
      <w:r>
        <w:rPr>
          <w:b/>
          <w:bCs/>
        </w:rPr>
        <w:t xml:space="preserve">+ Add row button</w:t>
      </w:r>
      <w:r>
        <w:t xml:space="preserve"> — creates a new row</w:t>
      </w:r>
    </w:p>
    <w:p>
      <w:pPr>
        <w:pStyle w:val="ListParagraph"/>
        <w:numPr>
          <w:ilvl w:val="0"/>
          <w:numId w:val="2"/>
        </w:numPr>
        <w:spacing w:after="30" w:before="30" w:line="280"/>
      </w:pPr>
      <w:r>
        <w:rPr>
          <w:b/>
          <w:bCs/>
        </w:rPr>
        <w:t xml:space="preserve">Reset sheet button</w:t>
      </w:r>
      <w:r>
        <w:t xml:space="preserve"> — discards changes on this sheet only</w:t>
      </w:r>
    </w:p>
    <w:p>
      <w:pPr>
        <w:pStyle w:val="ListParagraph"/>
        <w:numPr>
          <w:ilvl w:val="0"/>
          <w:numId w:val="2"/>
        </w:numPr>
        <w:spacing w:after="30" w:before="30" w:line="280"/>
      </w:pPr>
      <w:r>
        <w:rPr>
          <w:b/>
          <w:bCs/>
        </w:rPr>
        <w:t xml:space="preserve">Export XLSX</w:t>
      </w:r>
      <w:r>
        <w:t xml:space="preserve"> — downloads the entire dataset with your changes baked in</w:t>
      </w:r>
    </w:p>
    <w:p>
      <w:pPr>
        <w:pStyle w:val="Heading2"/>
        <w:spacing w:after="120" w:before="280"/>
      </w:pPr>
      <w:r>
        <w:t xml:space="preserve">6.3 Persisting your changes</w:t>
      </w:r>
    </w:p>
    <w:p>
      <w:pPr>
        <w:spacing w:after="60" w:before="60" w:line="280"/>
      </w:pPr>
      <w:r>
        <w:t xml:space="preserve">Three layers of persistence apply:</w:t>
      </w:r>
    </w:p>
    <w:p>
      <w:pPr>
        <w:pStyle w:val="ListParagraph"/>
        <w:numPr>
          <w:ilvl w:val="0"/>
          <w:numId w:val="3"/>
        </w:numPr>
        <w:spacing w:after="30" w:before="30" w:line="280"/>
      </w:pPr>
      <w:r>
        <w:rPr>
          <w:b/>
          <w:bCs/>
        </w:rPr>
        <w:t xml:space="preserve">Browser localStorage</w:t>
      </w:r>
      <w:r>
        <w:t xml:space="preserve"> — every Save/Create/Delete is immediately written. Surviving refreshes is automatic.</w:t>
      </w:r>
    </w:p>
    <w:p>
      <w:pPr>
        <w:pStyle w:val="ListParagraph"/>
        <w:numPr>
          <w:ilvl w:val="0"/>
          <w:numId w:val="3"/>
        </w:numPr>
        <w:spacing w:after="30" w:before="30" w:line="280"/>
      </w:pPr>
      <w:r>
        <w:rPr>
          <w:b/>
          <w:bCs/>
        </w:rPr>
        <w:t xml:space="preserve">Export XLSX</w:t>
      </w:r>
      <w:r>
        <w:t xml:space="preserve"> — when ready, click Export XLSX. All 25 sheets download with changes.</w:t>
      </w:r>
    </w:p>
    <w:p>
      <w:pPr>
        <w:pStyle w:val="ListParagraph"/>
        <w:numPr>
          <w:ilvl w:val="0"/>
          <w:numId w:val="3"/>
        </w:numPr>
        <w:spacing w:after="30" w:before="30" w:line="280"/>
      </w:pPr>
      <w:r>
        <w:rPr>
          <w:b/>
          <w:bCs/>
        </w:rPr>
        <w:t xml:space="preserve">Permanent (next session)</w:t>
      </w:r>
      <w:r>
        <w:t xml:space="preserve"> — send the exported XLSX back for a fresh HTML build with edits baked in.</w:t>
      </w:r>
    </w:p>
    <w:p>
      <w:pPr>
        <w:pBdr>
          <w:left w:val="single" w:color="F4A261" w:sz="18" w:space="8"/>
        </w:pBdr>
        <w:shd w:fill="FFF8F0" w:val="clear"/>
        <w:spacing w:after="120" w:before="120" w:line="280"/>
        <w:ind w:left="240"/>
      </w:pPr>
      <w:r>
        <w:rPr>
          <w:b/>
          <w:bCs/>
        </w:rPr>
        <w:t xml:space="preserve">Important: </w:t>
      </w:r>
      <w:r>
        <w:t xml:space="preserve">If you clear browser data without exporting, your unsaved edits are lost. Export XLSX whenever you make meaningful changes.</w:t>
      </w:r>
    </w:p>
    <w:p>
      <w:pPr>
        <w:pStyle w:val="Heading1"/>
        <w:pageBreakBefore/>
        <w:spacing w:after="120" w:before="360"/>
      </w:pPr>
      <w:r>
        <w:t xml:space="preserve">7. How to use this system the best way — workflow patterns</w:t>
      </w:r>
    </w:p>
    <w:p>
      <w:pPr>
        <w:spacing w:after="60" w:before="60" w:line="280"/>
      </w:pPr>
      <w:r>
        <w:t xml:space="preserve">The tool supports several distinct workflows depending on what you are trying to accomplish. This section walks through the optimal usage pattern for each.</w:t>
      </w:r>
    </w:p>
    <w:p>
      <w:pPr>
        <w:pStyle w:val="Heading2"/>
        <w:spacing w:after="120" w:before="280"/>
      </w:pPr>
      <w:r>
        <w:t xml:space="preserve">7.1 Workflow A — Customer engagement (the primary workflow)</w:t>
      </w:r>
    </w:p>
    <w:p>
      <w:pPr>
        <w:spacing w:after="60" w:before="60" w:line="280"/>
      </w:pPr>
      <w:r>
        <w:t xml:space="preserve">Use when: you are running an active customer assessment and need to deliver a polished report.</w:t>
      </w:r>
    </w:p>
    <w:p>
      <w:pPr>
        <w:pStyle w:val="ListParagraph"/>
        <w:numPr>
          <w:ilvl w:val="0"/>
          <w:numId w:val="3"/>
        </w:numPr>
        <w:spacing w:after="30" w:before="30" w:line="280"/>
      </w:pPr>
      <w:r>
        <w:rPr>
          <w:b/>
          <w:bCs/>
        </w:rPr>
        <w:t xml:space="preserve">Open the tool</w:t>
      </w:r>
      <w:r>
        <w:t xml:space="preserve"> — double-click the HTML file</w:t>
      </w:r>
    </w:p>
    <w:p>
      <w:pPr>
        <w:pStyle w:val="ListParagraph"/>
        <w:numPr>
          <w:ilvl w:val="0"/>
          <w:numId w:val="3"/>
        </w:numPr>
        <w:spacing w:after="30" w:before="30" w:line="280"/>
      </w:pPr>
      <w:r>
        <w:rPr>
          <w:b/>
          <w:bCs/>
        </w:rPr>
        <w:t xml:space="preserve">Fill in the metadata bar</w:t>
      </w:r>
      <w:r>
        <w:t xml:space="preserve"> — populates the cover page and footer</w:t>
      </w:r>
    </w:p>
    <w:p>
      <w:pPr>
        <w:pStyle w:val="ListParagraph"/>
        <w:numPr>
          <w:ilvl w:val="0"/>
          <w:numId w:val="3"/>
        </w:numPr>
        <w:spacing w:after="30" w:before="30" w:line="280"/>
      </w:pPr>
      <w:r>
        <w:rPr>
          <w:b/>
          <w:bCs/>
        </w:rPr>
        <w:t xml:space="preserve">Optionally start with a quick-pick template</w:t>
      </w:r>
      <w:r>
        <w:t xml:space="preserve"> if customer matches AWS Startup / Azure Enterprise / etc.</w:t>
      </w:r>
    </w:p>
    <w:p>
      <w:pPr>
        <w:pStyle w:val="ListParagraph"/>
        <w:numPr>
          <w:ilvl w:val="0"/>
          <w:numId w:val="3"/>
        </w:numPr>
        <w:spacing w:after="30" w:before="30" w:line="280"/>
      </w:pPr>
      <w:r>
        <w:rPr>
          <w:b/>
          <w:bCs/>
        </w:rPr>
        <w:t xml:space="preserve">Build the architecture</w:t>
      </w:r>
      <w:r>
        <w:t xml:space="preserve"> — drag components matching what the customer has</w:t>
      </w:r>
    </w:p>
    <w:p>
      <w:pPr>
        <w:pStyle w:val="ListParagraph"/>
        <w:numPr>
          <w:ilvl w:val="0"/>
          <w:numId w:val="3"/>
        </w:numPr>
        <w:spacing w:after="30" w:before="30" w:line="280"/>
      </w:pPr>
      <w:r>
        <w:rPr>
          <w:b/>
          <w:bCs/>
        </w:rPr>
        <w:t xml:space="preserve">Customize per-customer</w:t>
      </w:r>
      <w:r>
        <w:t xml:space="preserve"> — rename nodes, override risk scores where compensating controls exist</w:t>
      </w:r>
    </w:p>
    <w:p>
      <w:pPr>
        <w:pStyle w:val="ListParagraph"/>
        <w:numPr>
          <w:ilvl w:val="0"/>
          <w:numId w:val="3"/>
        </w:numPr>
        <w:spacing w:after="30" w:before="30" w:line="280"/>
      </w:pPr>
      <w:r>
        <w:rPr>
          <w:b/>
          <w:bCs/>
        </w:rPr>
        <w:t xml:space="preserve">Review suggested connections</w:t>
      </w:r>
      <w:r>
        <w:t xml:space="preserve"> — accept relevant, dismiss irrelevant</w:t>
      </w:r>
    </w:p>
    <w:p>
      <w:pPr>
        <w:pStyle w:val="ListParagraph"/>
        <w:numPr>
          <w:ilvl w:val="0"/>
          <w:numId w:val="3"/>
        </w:numPr>
        <w:spacing w:after="30" w:before="30" w:line="280"/>
      </w:pPr>
      <w:r>
        <w:rPr>
          <w:b/>
          <w:bCs/>
        </w:rPr>
        <w:t xml:space="preserve">Scroll down to review the auto-generated report</w:t>
      </w:r>
      <w:r>
        <w:t xml:space="preserve"> — verify executive summary and per-component cards</w:t>
      </w:r>
    </w:p>
    <w:p>
      <w:pPr>
        <w:pStyle w:val="ListParagraph"/>
        <w:numPr>
          <w:ilvl w:val="0"/>
          <w:numId w:val="3"/>
        </w:numPr>
        <w:spacing w:after="30" w:before="30" w:line="280"/>
      </w:pPr>
      <w:r>
        <w:rPr>
          <w:b/>
          <w:bCs/>
        </w:rPr>
        <w:t xml:space="preserve">Print to PDF</w:t>
      </w:r>
      <w:r>
        <w:t xml:space="preserve"> — enable 'Background graphics' in print settings</w:t>
      </w:r>
    </w:p>
    <w:p>
      <w:pPr>
        <w:pStyle w:val="ListParagraph"/>
        <w:numPr>
          <w:ilvl w:val="0"/>
          <w:numId w:val="3"/>
        </w:numPr>
        <w:spacing w:after="30" w:before="30" w:line="280"/>
      </w:pPr>
      <w:r>
        <w:rPr>
          <w:b/>
          <w:bCs/>
        </w:rPr>
        <w:t xml:space="preserve">Send the PDF to the customer</w:t>
      </w:r>
      <w:r>
        <w:t xml:space="preserve"> — final deliverable</w:t>
      </w:r>
    </w:p>
    <w:p>
      <w:pPr>
        <w:pBdr>
          <w:left w:val="single" w:color="F4A261" w:sz="18" w:space="8"/>
        </w:pBdr>
        <w:shd w:fill="FFF8F0" w:val="clear"/>
        <w:spacing w:after="120" w:before="120" w:line="280"/>
        <w:ind w:left="240"/>
      </w:pPr>
      <w:r>
        <w:rPr>
          <w:b/>
          <w:bCs/>
        </w:rPr>
        <w:t xml:space="preserve">Pro tip: </w:t>
      </w:r>
      <w:r>
        <w:t xml:space="preserve">Always preview the PDF before sending. Browser print rendering varies; what looks fine on screen sometimes wraps awkwardly in PDF.</w:t>
      </w:r>
    </w:p>
    <w:p>
      <w:pPr>
        <w:pStyle w:val="Heading2"/>
        <w:spacing w:after="120" w:before="280"/>
      </w:pPr>
      <w:r>
        <w:t xml:space="preserve">7.2 Workflow B — Pre-engagement research</w:t>
      </w:r>
    </w:p>
    <w:p>
      <w:pPr>
        <w:spacing w:after="60" w:before="60" w:line="280"/>
      </w:pPr>
      <w:r>
        <w:t xml:space="preserve">Use when: preparing for a customer call, want to understand their threat landscape.</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Heading2"/>
        <w:spacing w:after="120" w:before="280"/>
      </w:pPr>
      <w:r>
        <w:t xml:space="preserve">7.3 Workflow C — SecOps demo</w:t>
      </w:r>
    </w:p>
    <w:p>
      <w:pPr>
        <w:spacing w:after="60" w:before="60" w:line="280"/>
      </w:pPr>
      <w:r>
        <w:t xml:space="preserve">Use when: customer wants to see what detection looks like — visualizations, queries, sample data.</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Heading2"/>
        <w:spacing w:after="120" w:before="280"/>
      </w:pPr>
      <w:r>
        <w:t xml:space="preserve">7.4 Workflow D — Log strategy conversation</w:t>
      </w:r>
    </w:p>
    <w:p>
      <w:pPr>
        <w:spacing w:after="60" w:before="60" w:line="280"/>
      </w:pPr>
      <w:r>
        <w:t xml:space="preserve">Use when: customer is overwhelmed by SIEM ingestion costs.</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Heading2"/>
        <w:spacing w:after="120" w:before="280"/>
      </w:pPr>
      <w:r>
        <w:t xml:space="preserve">7.5 Workflow E — Quick reference lookup</w:t>
      </w:r>
    </w:p>
    <w:p>
      <w:pPr>
        <w:spacing w:after="60" w:before="60" w:line="280"/>
      </w:pPr>
      <w:r>
        <w:t xml:space="preserve">Use when: customer asks 'top misconfigs for [service]?' and you need an answer in 30 seconds.</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Heading2"/>
        <w:spacing w:after="120" w:before="280"/>
      </w:pPr>
      <w:r>
        <w:t xml:space="preserve">7.6 Workflow F — Dataset evolution</w:t>
      </w:r>
    </w:p>
    <w:p>
      <w:pPr>
        <w:spacing w:after="60" w:before="60" w:line="280"/>
      </w:pPr>
      <w:r>
        <w:t xml:space="preserve">Use when: you have made improvements during customer work that should be saved permanently.</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Heading2"/>
        <w:spacing w:after="120" w:before="280"/>
      </w:pPr>
      <w:r>
        <w:t xml:space="preserve">7.7 Common pitfalls to avoid</w:t>
      </w:r>
    </w:p>
    <w:p>
      <w:pPr>
        <w:pStyle w:val="ListParagraph"/>
        <w:numPr>
          <w:ilvl w:val="0"/>
          <w:numId w:val="2"/>
        </w:numPr>
        <w:spacing w:after="30" w:before="30" w:line="280"/>
      </w:pPr>
      <w:r>
        <w:rPr>
          <w:b/>
          <w:bCs/>
        </w:rPr>
        <w:t xml:space="preserve">Don't take customer notes in canvas labels</w:t>
      </w:r>
      <w:r>
        <w:t xml:space="preserve"> — node labels become part of the report. Use a separate notes app for sensitive observations.</w:t>
      </w:r>
    </w:p>
    <w:p>
      <w:pPr>
        <w:pStyle w:val="ListParagraph"/>
        <w:numPr>
          <w:ilvl w:val="0"/>
          <w:numId w:val="2"/>
        </w:numPr>
        <w:spacing w:after="30" w:before="30" w:line="280"/>
      </w:pPr>
      <w:r>
        <w:rPr>
          <w:b/>
          <w:bCs/>
        </w:rPr>
        <w:t xml:space="preserve">Don't print to PDF without 'Background graphics' enabled</w:t>
      </w:r>
      <w:r>
        <w:t xml:space="preserve"> — accent colors won't render and the report looks flat.</w:t>
      </w:r>
    </w:p>
    <w:p>
      <w:pPr>
        <w:pStyle w:val="ListParagraph"/>
        <w:numPr>
          <w:ilvl w:val="0"/>
          <w:numId w:val="2"/>
        </w:numPr>
        <w:spacing w:after="30" w:before="30" w:line="280"/>
      </w:pPr>
      <w:r>
        <w:rPr>
          <w:b/>
          <w:bCs/>
        </w:rPr>
        <w:t xml:space="preserve">Don't paste Low-confidence YARA-L queries into production</w:t>
      </w:r>
      <w:r>
        <w:t xml:space="preserve"> — they have // VERIFY headers for a reason.</w:t>
      </w:r>
    </w:p>
    <w:p>
      <w:pPr>
        <w:pStyle w:val="ListParagraph"/>
        <w:numPr>
          <w:ilvl w:val="0"/>
          <w:numId w:val="2"/>
        </w:numPr>
        <w:spacing w:after="30" w:before="30" w:line="280"/>
      </w:pPr>
      <w:r>
        <w:rPr>
          <w:b/>
          <w:bCs/>
        </w:rPr>
        <w:t xml:space="preserve">Don't trust mock chart preview data as real findings</w:t>
      </w:r>
      <w:r>
        <w:t xml:space="preserve"> — the data is anonymized samples. It's for visualization shape only.</w:t>
      </w:r>
    </w:p>
    <w:p>
      <w:pPr>
        <w:pStyle w:val="ListParagraph"/>
        <w:numPr>
          <w:ilvl w:val="0"/>
          <w:numId w:val="2"/>
        </w:numPr>
        <w:spacing w:after="30" w:before="30" w:line="280"/>
      </w:pPr>
      <w:r>
        <w:rPr>
          <w:b/>
          <w:bCs/>
        </w:rPr>
        <w:t xml:space="preserve">Don't forget to Export XLSX before clearing browser data</w:t>
      </w:r>
      <w:r>
        <w:t xml:space="preserve"> — you'll lose all your admin edits.</w:t>
      </w:r>
    </w:p>
    <w:p>
      <w:pPr>
        <w:pStyle w:val="ListParagraph"/>
        <w:numPr>
          <w:ilvl w:val="0"/>
          <w:numId w:val="2"/>
        </w:numPr>
        <w:spacing w:after="30" w:before="30" w:line="280"/>
      </w:pPr>
      <w:r>
        <w:rPr>
          <w:b/>
          <w:bCs/>
        </w:rPr>
        <w:t xml:space="preserve">Don't promise customers all 96 SecOps queries work out of the box</w:t>
      </w:r>
      <w:r>
        <w:t xml:space="preserve"> — be transparent about confidence tags.</w:t>
      </w:r>
    </w:p>
    <w:p>
      <w:pPr>
        <w:pStyle w:val="Heading2"/>
        <w:spacing w:after="120" w:before="280"/>
      </w:pPr>
      <w:r>
        <w:t xml:space="preserve">7.8 Customer presentation flow (recommended)</w:t>
      </w:r>
    </w:p>
    <w:p>
      <w:pPr>
        <w:spacing w:after="60" w:before="60" w:line="280"/>
      </w:pPr>
      <w:r>
        <w:t xml:space="preserve">If you're presenting the tool itself to a customer, this demo sequence works:</w:t>
      </w:r>
    </w:p>
    <w:p>
      <w:pPr>
        <w:pStyle w:val="ListParagraph"/>
        <w:numPr>
          <w:ilvl w:val="0"/>
          <w:numId w:val="3"/>
        </w:numPr>
        <w:spacing w:after="30" w:before="30" w:line="280"/>
      </w:pPr>
      <w:r>
        <w:rPr>
          <w:b/>
          <w:bCs/>
        </w:rPr>
        <w:t xml:space="preserve">Start with Architecture Designer</w:t>
      </w:r>
      <w:r>
        <w:t xml:space="preserve"> — visual, immediate, customer sees their environment</w:t>
      </w:r>
    </w:p>
    <w:p>
      <w:pPr>
        <w:pStyle w:val="ListParagraph"/>
        <w:numPr>
          <w:ilvl w:val="0"/>
          <w:numId w:val="3"/>
        </w:numPr>
        <w:spacing w:after="30" w:before="30" w:line="280"/>
      </w:pPr>
      <w:r>
        <w:rPr>
          <w:b/>
          <w:bCs/>
        </w:rPr>
        <w:t xml:space="preserve">Generate the report</w:t>
      </w:r>
      <w:r>
        <w:t xml:space="preserve"> — scroll through it. Customer sees structured deliverables, not slideware.</w:t>
      </w:r>
    </w:p>
    <w:p>
      <w:pPr>
        <w:pStyle w:val="ListParagraph"/>
        <w:numPr>
          <w:ilvl w:val="0"/>
          <w:numId w:val="3"/>
        </w:numPr>
        <w:spacing w:after="30" w:before="30" w:line="280"/>
      </w:pPr>
      <w:r>
        <w:rPr>
          <w:b/>
          <w:bCs/>
        </w:rPr>
        <w:t xml:space="preserve">Switch to SecOps Dashboards</w:t>
      </w:r>
      <w:r>
        <w:t xml:space="preserve"> — pick the dashboard most relevant to their pain</w:t>
      </w:r>
    </w:p>
    <w:p>
      <w:pPr>
        <w:pStyle w:val="ListParagraph"/>
        <w:numPr>
          <w:ilvl w:val="0"/>
          <w:numId w:val="3"/>
        </w:numPr>
        <w:spacing w:after="30" w:before="30" w:line="280"/>
      </w:pPr>
      <w:r>
        <w:rPr>
          <w:b/>
          <w:bCs/>
        </w:rPr>
        <w:t xml:space="preserve">Show the visualization preview</w:t>
      </w:r>
      <w:r>
        <w:t xml:space="preserve"> — they see the chart shape with sample data</w:t>
      </w:r>
    </w:p>
    <w:p>
      <w:pPr>
        <w:pStyle w:val="ListParagraph"/>
        <w:numPr>
          <w:ilvl w:val="0"/>
          <w:numId w:val="3"/>
        </w:numPr>
        <w:spacing w:after="30" w:before="30" w:line="280"/>
      </w:pPr>
      <w:r>
        <w:rPr>
          <w:b/>
          <w:bCs/>
        </w:rPr>
        <w:t xml:space="preserve">Click Copy on the KQL query</w:t>
      </w:r>
      <w:r>
        <w:t xml:space="preserve"> — offer to paste it into their Sentinel right now</w:t>
      </w:r>
    </w:p>
    <w:p>
      <w:pPr>
        <w:pStyle w:val="ListParagraph"/>
        <w:numPr>
          <w:ilvl w:val="0"/>
          <w:numId w:val="3"/>
        </w:numPr>
        <w:spacing w:after="30" w:before="30" w:line="280"/>
      </w:pPr>
      <w:r>
        <w:rPr>
          <w:b/>
          <w:bCs/>
        </w:rPr>
        <w:t xml:space="preserve">Hand them the PDF</w:t>
      </w:r>
      <w:r>
        <w:t xml:space="preserve"> — final deliverable in their hand</w:t>
      </w:r>
    </w:p>
    <w:p>
      <w:pPr>
        <w:spacing w:after="60" w:before="60" w:line="280"/>
      </w:pPr>
      <w:r>
        <w:t xml:space="preserve">Total demo time: 15-20 minutes. Hits visual, technical, and deliverable in sequence.</w:t>
      </w:r>
    </w:p>
    <w:p>
      <w:pPr>
        <w:pStyle w:val="Heading1"/>
        <w:pageBreakBefore/>
        <w:spacing w:after="120" w:before="360"/>
      </w:pPr>
      <w:r>
        <w:t xml:space="preserve">8. Troubleshooting</w:t>
      </w:r>
    </w:p>
    <w:p>
      <w:pPr>
        <w:pStyle w:val="Heading2"/>
        <w:spacing w:after="120" w:before="280"/>
      </w:pPr>
      <w:r>
        <w:t xml:space="preserve">8.1 The PDF print does not look right</w: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Heading2"/>
        <w:spacing w:after="120" w:before="280"/>
      </w:pPr>
      <w:r>
        <w:t xml:space="preserve">8.2 My admin edits disappeared</w: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Heading2"/>
        <w:spacing w:after="120" w:before="280"/>
      </w:pPr>
      <w:r>
        <w:t xml:space="preserve">8.3 The HTML file will not open</w: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Heading2"/>
        <w:spacing w:after="120" w:before="280"/>
      </w:pPr>
      <w:r>
        <w:t xml:space="preserve">8.4 SecOps query copy button doesn't work</w:t>
      </w:r>
    </w:p>
    <w:p>
      <w:pPr>
        <w:pStyle w:val="ListParagraph"/>
        <w:numPr>
          <w:ilvl w:val="0"/>
          <w:numId w:val="2"/>
        </w:numPr>
        <w:spacing w:after="30" w:before="30" w:line="280"/>
      </w:pPr>
      <w:r>
        <w:t xml:space="default"/>
      </w:r>
    </w:p>
    <w:p>
      <w:pPr>
        <w:pStyle w:val="Heading2"/>
        <w:spacing w:after="120" w:before="280"/>
      </w:pPr>
      <w:r>
        <w:t xml:space="preserve">8.5 Browser shows 'page slow' warning</w:t>
      </w:r>
    </w:p>
    <w:p>
      <w:pPr>
        <w:spacing w:after="60" w:before="60" w:line="280"/>
      </w:pPr>
      <w:r>
        <w:t xml:space="preserve">First load parses ~4.3 MB of embedded data. On older machines this can take a moment. Subsequent loads are faster (browser cache). If it consistently times out, try Chrome or Edge latest version.</w:t>
      </w:r>
    </w:p>
    <w:p>
      <w:pPr>
        <w:pStyle w:val="Heading1"/>
        <w:pageBreakBefore/>
        <w:spacing w:after="120" w:before="360"/>
      </w:pPr>
      <w:r>
        <w:t xml:space="preserve">9. Quick reference</w:t>
      </w:r>
    </w:p>
    <w:p>
      <w:pPr>
        <w:pStyle w:val="Heading2"/>
        <w:spacing w:after="120" w:before="280"/>
      </w:pPr>
      <w:r>
        <w:t xml:space="preserve">9.1 File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File</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Size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Cloud-Security-Advisor.html</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~4.3 MB</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Cloud-Security-Advisor-Dataset.xlsx</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~660 KB</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Cloud-Security-Advisor.zip (all files)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~1.7 MB</w:t>
            </w:r>
          </w:p>
        </w:tc>
      </w:tr>
    </w:tbl>
    <w:p>
      <w:pPr>
        <w:pStyle w:val="Heading2"/>
        <w:spacing w:after="120" w:before="280"/>
      </w:pPr>
      <w:r>
        <w:t xml:space="preserve">9.2 Dataset stats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Item</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b/>
                <w:bCs/>
                <w:color w:val="FFFFFF"/>
              </w:rPr>
              <w:t xml:space="preserve">Count</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Components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133</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Detections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403</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Defense tools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1,953</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MITRE technique mappings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833</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Log events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644 (142 MUST with Sample JSON)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Log sources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SecOps dashboards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13</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SecOps visualizations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63</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KQL queries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63 (16 High / 41 Medium / 6 Low)</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YARA-L queries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63 (0 High / 11 Medium / 52 Low)</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Compliance mappings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1,876</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Sheets in XLSX</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25</w:t>
            </w:r>
          </w:p>
        </w:tc>
      </w:tr>
    </w:tbl>
    <w:p>
      <w:pPr>
        <w:pStyle w:val="Heading2"/>
        <w:spacing w:after="120" w:before="280"/>
      </w:pPr>
      <w:r>
        <w:t xml:space="preserve">9.3 What is NOT in the file</w: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Bdr>
          <w:left w:val="single" w:color="F4A261" w:sz="18" w:space="8"/>
        </w:pBdr>
        <w:shd w:fill="FFF8F0" w:val="clear"/>
        <w:spacing w:after="120" w:before="120" w:line="280"/>
        <w:ind w:left="240"/>
      </w:pPr>
      <w:r>
        <w:rPr>
          <w:b/>
          <w:bCs/>
        </w:rPr>
        <w:t xml:space="preserve">Final word: </w:t>
      </w:r>
      <w:r>
        <w:t xml:space="preserve">This is your tool. Make it yours. Edit the dataset to reflect your engagement style, customer base, typical findings. The structure stays consistent so reports look professional, but content can evolve continuously.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color w:val="9CA3AF"/>
        <w:sz w:val="18"/>
        <w:szCs w:val="18"/>
      </w:rPr>
      <w:t xml:space="preserve">Cloud Security Advisor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B0D12"/>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F4A261"/>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Security Advisor — User Guide</dc:title>
  <dc:creator>Cloud Security Advisor</dc:creator>
  <cp:lastModifiedBy>Un-named</cp:lastModifiedBy>
  <cp:revision>1</cp:revision>
  <dcterms:created xsi:type="dcterms:W3CDTF">2026-04-29T08:35:03.594Z</dcterms:created>
  <dcterms:modified xsi:type="dcterms:W3CDTF">2026-04-29T08:35:03.595Z</dcterms:modified>
</cp:coreProperties>
</file>

<file path=docProps/custom.xml><?xml version="1.0" encoding="utf-8"?>
<Properties xmlns="http://schemas.openxmlformats.org/officeDocument/2006/custom-properties" xmlns:vt="http://schemas.openxmlformats.org/officeDocument/2006/docPropsVTypes"/>
</file>