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200" w:before="300"/>
        <w:jc w:val="right"/>
      </w:pPr>
      <w:r>
        <w:rPr>
          <w:rFonts w:ascii="Arial" w:cs="Arial" w:eastAsia="Arial" w:hAnsi="Arial"/>
          <w:b/>
          <w:bCs/>
          <w:i w:val="false"/>
          <w:iCs w:val="false"/>
          <w:color w:val="1F3864"/>
          <w:sz w:val="32"/>
          <w:szCs w:val="32"/>
          <w:rtl/>
        </w:rPr>
        <w:t xml:space="preserve">רשימת אילוצי המדיניות הארגונית (Organization Policy Constraints)</w:t>
      </w:r>
    </w:p>
    <w:p>
      <w:pPr>
        <w:bidi/>
        <w:spacing w:after="120" w:line="260"/>
        <w:jc w:val="right"/>
      </w:pPr>
      <w:r>
        <w:rPr>
          <w:rFonts w:ascii="Arial" w:cs="Arial" w:eastAsia="Arial" w:hAnsi="Arial"/>
          <w:b w:val="false"/>
          <w:bCs w:val="false"/>
          <w:i w:val="false"/>
          <w:iCs w:val="false"/>
          <w:sz w:val="20"/>
          <w:szCs w:val="20"/>
          <w:rtl/>
        </w:rPr>
        <w:t xml:space="preserve">פרק זה מרכז את מלוא אילוצי המדיניות הארגונית המנוהלים על ידי Google, בחלוקה לפי שירות ומשאב. לכל אילוץ מוצגים המזהה המלא לשימוש ב־</w:t>
      </w:r>
      <w:r>
        <w:rPr>
          <w:rFonts w:ascii="Consolas" w:cs="Consolas" w:eastAsia="Consolas" w:hAnsi="Consolas"/>
          <w:sz w:val="17"/>
          <w:szCs w:val="17"/>
        </w:rPr>
        <w:t xml:space="preserve">gcloud</w:t>
      </w:r>
      <w:r>
        <w:rPr>
          <w:rFonts w:ascii="Arial" w:cs="Arial" w:eastAsia="Arial" w:hAnsi="Arial"/>
          <w:b w:val="false"/>
          <w:bCs w:val="false"/>
          <w:i w:val="false"/>
          <w:iCs w:val="false"/>
          <w:sz w:val="20"/>
          <w:szCs w:val="20"/>
          <w:rtl/>
        </w:rPr>
        <w:t xml:space="preserve"> וב־Terraform, סוג האילוץ, תיאור פעולתו, הערך המומלץ כבייסליין ארגוני והסיכון הנובע מאי־אכיפתו.</w:t>
      </w:r>
    </w:p>
    <w:p>
      <w:pPr>
        <w:pBdr>
          <w:top w:val="single" w:color="E0A800" w:sz="4"/>
          <w:bottom w:val="single" w:color="E0A800" w:sz="4"/>
          <w:left w:val="single" w:color="E0A800" w:sz="4"/>
          <w:right w:val="single" w:color="E0A800" w:sz="4"/>
        </w:pBdr>
        <w:shd w:fill="FFF6E0" w:val="clear"/>
        <w:bidi/>
        <w:spacing w:after="200" w:before="100" w:line="250"/>
        <w:jc w:val="right"/>
      </w:pPr>
      <w:r>
        <w:rPr>
          <w:rFonts w:ascii="Arial" w:cs="Arial" w:eastAsia="Arial" w:hAnsi="Arial"/>
          <w:b/>
          <w:bCs/>
          <w:i w:val="false"/>
          <w:iCs w:val="false"/>
          <w:sz w:val="19"/>
          <w:szCs w:val="19"/>
          <w:rtl/>
        </w:rPr>
        <w:t xml:space="preserve">מקור ותוקף: </w:t>
      </w:r>
      <w:r>
        <w:rPr>
          <w:rFonts w:ascii="Arial" w:cs="Arial" w:eastAsia="Arial" w:hAnsi="Arial"/>
          <w:b w:val="false"/>
          <w:bCs w:val="false"/>
          <w:i w:val="false"/>
          <w:iCs w:val="false"/>
          <w:sz w:val="19"/>
          <w:szCs w:val="19"/>
          <w:rtl/>
        </w:rPr>
        <w:t xml:space="preserve">הרשימה מבוססת על התיעוד הרשמי של Google Cloud – Organization policy constraints, כפי שנדלה בתאריך 29.07.2026. Google מוסיפה ומעדכנת אילוצים בתדירות גבוהה (מספר פעמים בחודש), ולכן יש לאמת את הרשימה מול ה־API של הארגון לפני קביעת בייסליין לאכיפה. ראו נספח א'. הערכים בעמודות "ערך מומלץ" ו"סיכון אם לא נאכף" הם המלצת מסמך זה ואינם חלק מתיעוד Google.</w:t>
      </w:r>
    </w:p>
    <w:p>
      <w:pPr>
        <w:pStyle w:val="Heading2"/>
        <w:bidi/>
        <w:spacing w:after="140" w:before="320"/>
        <w:jc w:val="right"/>
      </w:pPr>
      <w:r>
        <w:rPr>
          <w:rFonts w:ascii="Arial" w:cs="Arial" w:eastAsia="Arial" w:hAnsi="Arial"/>
          <w:b/>
          <w:bCs/>
          <w:i w:val="false"/>
          <w:iCs w:val="false"/>
          <w:color w:val="1F3864"/>
          <w:sz w:val="26"/>
          <w:szCs w:val="26"/>
          <w:rtl/>
        </w:rPr>
        <w:t xml:space="preserve">1. יתרונות המדיניות הארגונית</w:t>
      </w:r>
    </w:p>
    <w:p>
      <w:pPr>
        <w:bidi/>
        <w:spacing w:after="120" w:line="260"/>
        <w:jc w:val="right"/>
      </w:pPr>
      <w:r>
        <w:rPr>
          <w:rFonts w:ascii="Arial" w:cs="Arial" w:eastAsia="Arial" w:hAnsi="Arial"/>
          <w:b w:val="false"/>
          <w:bCs w:val="false"/>
          <w:i w:val="false"/>
          <w:iCs w:val="false"/>
          <w:sz w:val="20"/>
          <w:szCs w:val="20"/>
          <w:rtl/>
        </w:rPr>
        <w:t xml:space="preserve">שלושת היתרונות הראשונים בטבלה הם אלה ש־Google מציינת במפורש בתיעוד השירות. היתר הם יתרונות תפעוליים הנגזרים מאופן הפעולה של השירות, והם הבסיס להמלצות בהמשך הפרק.</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0358"/>
      </w:tblGrid>
      <w:tr>
        <w:trPr>
          <w:tblHeader/>
        </w:trPr>
        <w:tc>
          <w:tcPr>
            <w:tcW w:type="dxa" w:w="36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היתרון</w:t>
            </w:r>
          </w:p>
        </w:tc>
        <w:tc>
          <w:tcPr>
            <w:tcW w:type="dxa" w:w="1035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מה זה נותן בפועל</w:t>
            </w:r>
          </w:p>
        </w:tc>
      </w:tr>
      <w:tr>
        <w:tc>
          <w:tcPr>
            <w:tcW w:type="dxa" w:w="36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שליטה מרוכזת</w:t>
            </w:r>
          </w:p>
        </w:tc>
        <w:tc>
          <w:tcPr>
            <w:tcW w:type="dxa" w:w="103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הגדרת ההגבלות על אופן השימוש במשאבי הארגון מתבצעת בנקודה אחת, ולא פר־פרויקט או פר־צוות.</w:t>
            </w:r>
          </w:p>
        </w:tc>
      </w:tr>
      <w:tr>
        <w:tc>
          <w:tcPr>
            <w:tcW w:type="dxa" w:w="36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מעקות בטיחות (Guardrails) לצוותי הפיתוח</w:t>
            </w:r>
          </w:p>
        </w:tc>
        <w:tc>
          <w:tcPr>
            <w:tcW w:type="dxa" w:w="103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גבולות הגזרה מוגדרים מראש, כך שצוותי הפיתוח פועלים בתוך תחומי התאימות מבלי להידרש לאישור פרטני לכל פעולה.</w:t>
            </w:r>
          </w:p>
        </w:tc>
      </w:tr>
      <w:tr>
        <w:tc>
          <w:tcPr>
            <w:tcW w:type="dxa" w:w="36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מהירות ללא חשש</w:t>
            </w:r>
          </w:p>
        </w:tc>
        <w:tc>
          <w:tcPr>
            <w:tcW w:type="dxa" w:w="103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בעלי פרויקטים וצוותיהם יכולים לנוע מהר בלי חשש לשבור תאימות — הפלטפורמה עצמה חוסמת את הפעולות האסורות.</w:t>
            </w:r>
          </w:p>
        </w:tc>
      </w:tr>
      <w:tr>
        <w:tc>
          <w:tcPr>
            <w:tcW w:type="dxa" w:w="36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בקרה מונעת ולא מגלה</w:t>
            </w:r>
          </w:p>
        </w:tc>
        <w:tc>
          <w:tcPr>
            <w:tcW w:type="dxa" w:w="103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האכיפה מתרחשת בשכבת ה־API בזמן יצירת המשאב. בניגוד לכלי CSPM שמזהים ליקוי לאחר שנוצר, כאן המשאב הבעייתי כלל אינו נוצר.</w:t>
            </w:r>
          </w:p>
        </w:tc>
      </w:tr>
      <w:tr>
        <w:tc>
          <w:tcPr>
            <w:tcW w:type="dxa" w:w="36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כיסוי אוטומטי של משאבים חדשים</w:t>
            </w:r>
          </w:p>
        </w:tc>
        <w:tc>
          <w:tcPr>
            <w:tcW w:type="dxa" w:w="103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בזכות ההורשה, כל תיקייה ופרויקט שייווצרו בעתיד מקבלים את המדיניות מיד — אין פער אונבורדינג ואין פרויקט שנשכח מחוץ לבקרה.</w:t>
            </w:r>
          </w:p>
        </w:tc>
      </w:tr>
      <w:tr>
        <w:tc>
          <w:tcPr>
            <w:tcW w:type="dxa" w:w="36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שכבת הגנה בלתי תלויה ב־IAM</w:t>
            </w:r>
          </w:p>
        </w:tc>
        <w:tc>
          <w:tcPr>
            <w:tcW w:type="dxa" w:w="103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IAM עונה על השאלה "מי רשאי", ומדיניות ארגונית על השאלה "מה מותר להגדיר". גם הרשאת יתר שניתנה בטעות אינה מאפשרת לחרוג מהמדיניות.</w:t>
            </w:r>
          </w:p>
        </w:tc>
      </w:tr>
      <w:tr>
        <w:tc>
          <w:tcPr>
            <w:tcW w:type="dxa" w:w="36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ראיות לתאימות</w:t>
            </w:r>
          </w:p>
        </w:tc>
        <w:tc>
          <w:tcPr>
            <w:tcW w:type="dxa" w:w="103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המדיניות האפקטיבית ניתנת לשליפה ולייצוא בפקודה אחת ומהווה ראיה מסודרת לרגולטור ולמבקר, במקום איסוף תצורות פר־משאב.</w:t>
            </w:r>
          </w:p>
        </w:tc>
      </w:tr>
      <w:tr>
        <w:tc>
          <w:tcPr>
            <w:tcW w:type="dxa" w:w="36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שינוי בטוח באמצעות Dry-run</w:t>
            </w:r>
          </w:p>
        </w:tc>
        <w:tc>
          <w:tcPr>
            <w:tcW w:type="dxa" w:w="103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ניתן למדוד את השפעת המדיניות על הסביבה הקיימת לפני האכיפה, ולצמצם את הסיכון לשיבוש שירותים.</w:t>
            </w:r>
          </w:p>
        </w:tc>
      </w:tr>
      <w:tr>
        <w:tc>
          <w:tcPr>
            <w:tcW w:type="dxa" w:w="36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בקרת עלויות כתוצר לוואי</w:t>
            </w:r>
          </w:p>
        </w:tc>
        <w:tc>
          <w:tcPr>
            <w:tcW w:type="dxa" w:w="103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הגבלת שירותים ואזורים מצמצמת גם הוצאה בלתי מתוכננת ושימוש בשירותים שלא נבחנו תקציבית.</w:t>
            </w:r>
          </w:p>
        </w:tc>
      </w:tr>
    </w:tbl>
    <w:p>
      <w:pPr>
        <w:pStyle w:val="Heading2"/>
        <w:bidi/>
        <w:spacing w:after="140" w:before="320"/>
        <w:jc w:val="right"/>
      </w:pPr>
      <w:r>
        <w:rPr>
          <w:rFonts w:ascii="Arial" w:cs="Arial" w:eastAsia="Arial" w:hAnsi="Arial"/>
          <w:b/>
          <w:bCs/>
          <w:i w:val="false"/>
          <w:iCs w:val="false"/>
          <w:color w:val="1F3864"/>
          <w:sz w:val="26"/>
          <w:szCs w:val="26"/>
          <w:rtl/>
        </w:rPr>
        <w:t xml:space="preserve">2. מקרא — סוגי אילוצים</w:t>
      </w:r>
    </w:p>
    <w:p>
      <w:pPr>
        <w:bidi/>
        <w:spacing w:after="120" w:line="260"/>
        <w:jc w:val="right"/>
      </w:pPr>
      <w:r>
        <w:rPr>
          <w:rFonts w:ascii="Arial" w:cs="Arial" w:eastAsia="Arial" w:hAnsi="Arial"/>
          <w:b w:val="false"/>
          <w:bCs w:val="false"/>
          <w:i w:val="false"/>
          <w:iCs w:val="false"/>
          <w:sz w:val="20"/>
          <w:szCs w:val="20"/>
          <w:rtl/>
        </w:rPr>
        <w:t xml:space="preserve">Google מבחינה בין ארבעה סוגי אילוצים. ההבחנה חשובה מכיוון שאילוצי הדור החדש (Managed) תומכים בפרמטרים, בסימולציה ובכלי Policy Intelligence, בעוד אילוצי ה־legacy אינם תומכים בכך. כאשר קיימות שתי גרסאות לאותו אילוץ — יש להעדיף את גרסת ה־Managed.</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358"/>
      </w:tblGrid>
      <w:tr>
        <w:trPr>
          <w:tblHeader/>
        </w:trPr>
        <w:tc>
          <w:tcPr>
            <w:tcW w:type="dxa" w:w="26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 האילוץ</w:t>
            </w:r>
          </w:p>
        </w:tc>
        <w:tc>
          <w:tcPr>
            <w:tcW w:type="dxa" w:w="1135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משמעות</w:t>
            </w:r>
          </w:p>
        </w:tc>
      </w:tr>
      <w:tr>
        <w:tc>
          <w:tcPr>
            <w:tcW w:type="dxa" w:w="26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Managed</w:t>
            </w:r>
          </w:p>
        </w:tc>
        <w:tc>
          <w:tcPr>
            <w:tcW w:type="dxa" w:w="113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מנוהל בדור החדש. הפרמטרים שלו (רשימה או בוליאני) נקבעים על ידי השירות האוכף, והוא נתמך במלואו בכלי Policy Intelligence — כולל סימולציה והמלצות. Google מחליפה בהדרגה את אילוצי ה־legacy באילוצים מסוג זה.</w:t>
            </w:r>
          </w:p>
        </w:tc>
      </w:tr>
      <w:tr>
        <w:tc>
          <w:tcPr>
            <w:tcW w:type="dxa" w:w="26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Managed (legacy)</w:t>
            </w:r>
          </w:p>
        </w:tc>
        <w:tc>
          <w:tcPr>
            <w:tcW w:type="dxa" w:w="113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האילוצים שנקראו בעבר "אילוצים מוגדרים מראש" (predefined). מתחלקים ל־Boolean ול־List. עדיין נתמכים במלואם, אך פחות גמישים ובעלי נראות מופחתת בכלי הניתוח.</w:t>
            </w:r>
          </w:p>
        </w:tc>
      </w:tr>
      <w:tr>
        <w:tc>
          <w:tcPr>
            <w:tcW w:type="dxa" w:w="26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Boolean</w:t>
            </w:r>
          </w:p>
        </w:tc>
        <w:tc>
          <w:tcPr>
            <w:tcW w:type="dxa" w:w="113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שהוא נאכף או לא נאכף (enforced / not enforced). לדוגמה: חסימת גישה לפורט טורי.</w:t>
            </w:r>
          </w:p>
        </w:tc>
      </w:tr>
      <w:tr>
        <w:tc>
          <w:tcPr>
            <w:tcW w:type="dxa" w:w="26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List</w:t>
            </w:r>
          </w:p>
        </w:tc>
        <w:tc>
          <w:tcPr>
            <w:tcW w:type="dxa" w:w="113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המגדיר רשימת ערכים מותרים (allowedValues) או אסורים (deniedValues). תומך בקידומות is:, under: ו־in: בהתאם לאילוץ.</w:t>
            </w:r>
          </w:p>
        </w:tc>
      </w:tr>
      <w:tr>
        <w:tc>
          <w:tcPr>
            <w:tcW w:type="dxa" w:w="26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Custom</w:t>
            </w:r>
          </w:p>
        </w:tc>
        <w:tc>
          <w:tcPr>
            <w:tcW w:type="dxa" w:w="113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שהארגון מגדיר בעצמו בקובץ YAML, על בסיס resource type, method type ותנאי CEL. מתנהג כמו אילוץ Managed בוליאני.</w:t>
            </w:r>
          </w:p>
        </w:tc>
      </w:tr>
    </w:tbl>
    <w:p>
      <w:pPr>
        <w:bidi/>
        <w:spacing w:after="80" w:line="260"/>
        <w:jc w:val="right"/>
      </w:pPr>
      <w:r>
        <w:rPr>
          <w:rFonts w:ascii="Arial" w:cs="Arial" w:eastAsia="Arial" w:hAnsi="Arial"/>
          <w:b w:val="false"/>
          <w:bCs w:val="false"/>
          <w:i w:val="false"/>
          <w:iCs w:val="false"/>
          <w:sz w:val="20"/>
          <w:szCs w:val="20"/>
          <w:rtl/>
        </w:rPr>
        <w:t xml:space="preserve">שני מנגנוני אכיפה נוספים משלימים את התמונה:</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Dry-run — ניתן להחיל כל מדיניות במצב הרצה יבשה. ההפרות נרשמות ב־Cloud Audit Logs מבלי לחסום פעולות. זהו שלב חובה לפני אכיפה בסביבת ייצור.</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Conditional enforcement — הצמדת האילוץ ל־tags באמצעות ביטויי CEL, לצורך החרגת משאבים ספציפיים מבלי לוותר על האכיפה הרוחבית.</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Inheritance — מדיניות שאינה מוגדרת יורשת מהאב הקרוב ביותר בהיררכיה; בהיעדר הגדרה כלשהי חלה התנהגות ברירת המחדל של Google (ראו סעיף 6).</w:t>
      </w:r>
    </w:p>
    <w:p>
      <w:pPr>
        <w:pStyle w:val="Heading2"/>
        <w:bidi/>
        <w:spacing w:after="140" w:before="320"/>
        <w:jc w:val="right"/>
      </w:pPr>
      <w:r>
        <w:rPr>
          <w:rFonts w:ascii="Arial" w:cs="Arial" w:eastAsia="Arial" w:hAnsi="Arial"/>
          <w:b/>
          <w:bCs/>
          <w:i w:val="false"/>
          <w:iCs w:val="false"/>
          <w:color w:val="1F3864"/>
          <w:sz w:val="26"/>
          <w:szCs w:val="26"/>
          <w:rtl/>
        </w:rPr>
        <w:t xml:space="preserve">3. אופן הפעולה — ממה מורכבת מדיניות ועל מה היא חלה</w:t>
      </w:r>
    </w:p>
    <w:p>
      <w:pPr>
        <w:bidi/>
        <w:spacing w:after="120" w:line="260"/>
        <w:jc w:val="right"/>
      </w:pPr>
      <w:r>
        <w:rPr>
          <w:rFonts w:ascii="Arial" w:cs="Arial" w:eastAsia="Arial" w:hAnsi="Arial"/>
          <w:b w:val="false"/>
          <w:bCs w:val="false"/>
          <w:i w:val="false"/>
          <w:iCs w:val="false"/>
          <w:sz w:val="20"/>
          <w:szCs w:val="20"/>
          <w:rtl/>
        </w:rPr>
        <w:t xml:space="preserve">מדיניות ארגונית מורכבת משני חלקים: האילוץ (Constraint) — התבנית שמגדירה איזו התנהגות נשלטת, והכללים (Rules) — האופן שבו האילוץ נאכף בפועל. כל מדיניות אוכפת בדיוק אילוץ אחד. המדיניות מוצמדת לצומת בהיררכיית המשאבים, וכל הצאצאים של אותו צומת יורשים אותה. האכיפה עצמה מתבצעת בשירות ה־Google Cloud שאליו האילוץ ממופה, ברגע קריאת ה־API.</w:t>
      </w:r>
    </w:p>
    <w:p>
      <w:pPr>
        <w:spacing w:after="160" w:before="120"/>
        <w:jc w:val="center"/>
      </w:pPr>
      <w:r>
        <w:drawing>
          <wp:inline distT="0" distB="0" distL="0" distR="0">
            <wp:extent cx="9334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34500" cy="3600450"/>
                    </a:xfrm>
                    <a:prstGeom prst="rect">
                      <a:avLst/>
                    </a:prstGeom>
                  </pic:spPr>
                </pic:pic>
              </a:graphicData>
            </a:graphic>
          </wp:inline>
        </w:drawing>
      </w:r>
    </w:p>
    <w:p>
      <w:pPr>
        <w:bidi/>
        <w:spacing w:after="80" w:line="260"/>
        <w:jc w:val="right"/>
      </w:pPr>
      <w:r>
        <w:rPr>
          <w:rFonts w:ascii="Arial" w:cs="Arial" w:eastAsia="Arial" w:hAnsi="Arial"/>
          <w:b w:val="false"/>
          <w:bCs w:val="false"/>
          <w:i w:val="false"/>
          <w:iCs w:val="false"/>
          <w:sz w:val="20"/>
          <w:szCs w:val="20"/>
          <w:rtl/>
        </w:rPr>
        <w:t xml:space="preserve">שתי נקודות מהותיות הנגזרות מהתרשים:</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ההורשה היא ברירת המחדל, אך התנהגות המיזוג שונה בין סוגי האילוצים: אילוצי legacy מסוג List ממוזגים לפי כללי הערכת ההיררכיה, ואילו אילוץ Managed שנורש מצומת אב אינו ממוזג — הוא נאכף כפי שהוגדר באב, או מוחלף לחלוטין במדיניות של הצומת עצמו.</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האכיפה אינה רטרואקטיבית: מדיניות חדשה אינה עוצרת משאב קיים שכבר מפר אותה. ההפרה תירשם, אך הטיפול בה ידני. זה מכוון — כדי שמדיניות חדשה לא תשבית פעילות עסקית — ולכן נדרש תהליך תיקון נפרד למשאבים קיימים.</w:t>
      </w:r>
    </w:p>
    <w:p>
      <w:pPr>
        <w:pStyle w:val="Heading2"/>
        <w:bidi/>
        <w:spacing w:after="140" w:before="320"/>
        <w:jc w:val="right"/>
      </w:pPr>
      <w:r>
        <w:rPr>
          <w:rFonts w:ascii="Arial" w:cs="Arial" w:eastAsia="Arial" w:hAnsi="Arial"/>
          <w:b/>
          <w:bCs/>
          <w:i w:val="false"/>
          <w:iCs w:val="false"/>
          <w:color w:val="1F3864"/>
          <w:sz w:val="26"/>
          <w:szCs w:val="26"/>
          <w:rtl/>
        </w:rPr>
        <w:t xml:space="preserve">4. אופן ההגדרה — תרשים זרימה</w:t>
      </w:r>
    </w:p>
    <w:p>
      <w:pPr>
        <w:bidi/>
        <w:spacing w:after="120" w:line="260"/>
        <w:jc w:val="right"/>
      </w:pPr>
      <w:r>
        <w:rPr>
          <w:rFonts w:ascii="Arial" w:cs="Arial" w:eastAsia="Arial" w:hAnsi="Arial"/>
          <w:b w:val="false"/>
          <w:bCs w:val="false"/>
          <w:i w:val="false"/>
          <w:iCs w:val="false"/>
          <w:sz w:val="20"/>
          <w:szCs w:val="20"/>
          <w:rtl/>
        </w:rPr>
        <w:t xml:space="preserve">מדיניות ארגונית נבנית תמיד מאותם חמישה שלבים, ללא תלות בשירות שעליו היא חלה: בחירת האילוץ, בחירת הצומת בהיררכיה, הגדרת הכלל, קביעת היחס למדיניות האב, ולבסוף מעבר מהרצה יבשה לאכיפה בפועל. התרשים הבא מתאר את הזרימה המלאה.</w:t>
      </w:r>
    </w:p>
    <w:p>
      <w:pPr>
        <w:spacing w:after="160" w:before="120"/>
        <w:jc w:val="center"/>
      </w:pPr>
      <w:r>
        <w:drawing>
          <wp:inline distT="0" distB="0" distL="0" distR="0">
            <wp:extent cx="9334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34500" cy="2867025"/>
                    </a:xfrm>
                    <a:prstGeom prst="rect">
                      <a:avLst/>
                    </a:prstGeom>
                  </pic:spPr>
                </pic:pic>
              </a:graphicData>
            </a:graphic>
          </wp:inline>
        </w:drawing>
      </w:r>
    </w:p>
    <w:p>
      <w:pPr>
        <w:bidi/>
        <w:spacing w:after="80" w:line="260"/>
        <w:jc w:val="right"/>
      </w:pPr>
      <w:r>
        <w:rPr>
          <w:rFonts w:ascii="Arial" w:cs="Arial" w:eastAsia="Arial" w:hAnsi="Arial"/>
          <w:b w:val="false"/>
          <w:bCs w:val="false"/>
          <w:i w:val="false"/>
          <w:iCs w:val="false"/>
          <w:sz w:val="20"/>
          <w:szCs w:val="20"/>
          <w:rtl/>
        </w:rPr>
        <w:t xml:space="preserve">שלוש נקודות שנוטים לפספס בזרימה זו:</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היחס למדיניות האב (שלב 4) הוא ההחלטה הקריטית: מדיניות שאינה מגדירה במפורש override תמשיך לרשת מהצומת שמעליה, ומדיניות List במצב מיזוג מצטלבת עם מדיניות האב ואינה מחליפה אותה.</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מצב Dry-run (שלב 5) אינו אופציונלי בסביבת ייצור. ההפרות נרשמות ב־Cloud Audit Logs תחת orgPolicyViolationInfo וניתן לאתרן לפני שהאילוץ חוסם פעולות בפועל.</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החרגה נכונה נעשית באמצעות tag ותנאי CEL ולא באמצעות ביטול המדיניות בצומת נמוך יותר — כך נשמרת האכיפה הרוחבית והחריג נותר גלוי ומתועד.</w:t>
      </w:r>
    </w:p>
    <w:p>
      <w:pPr>
        <w:pStyle w:val="Heading2"/>
        <w:bidi/>
        <w:spacing w:after="140" w:before="320"/>
        <w:jc w:val="right"/>
      </w:pPr>
      <w:r>
        <w:rPr>
          <w:rFonts w:ascii="Arial" w:cs="Arial" w:eastAsia="Arial" w:hAnsi="Arial"/>
          <w:b/>
          <w:bCs/>
          <w:i w:val="false"/>
          <w:iCs w:val="false"/>
          <w:color w:val="1F3864"/>
          <w:sz w:val="26"/>
          <w:szCs w:val="26"/>
          <w:rtl/>
        </w:rPr>
        <w:t xml:space="preserve">5. אילוצי Google Cloud Security Baseline</w:t>
      </w:r>
    </w:p>
    <w:p>
      <w:pPr>
        <w:bidi/>
        <w:spacing w:after="120" w:line="260"/>
        <w:jc w:val="right"/>
      </w:pPr>
      <w:r>
        <w:rPr>
          <w:rFonts w:ascii="Arial" w:cs="Arial" w:eastAsia="Arial" w:hAnsi="Arial"/>
          <w:b w:val="false"/>
          <w:bCs w:val="false"/>
          <w:i w:val="false"/>
          <w:iCs w:val="false"/>
          <w:sz w:val="20"/>
          <w:szCs w:val="20"/>
          <w:rtl/>
        </w:rPr>
        <w:t xml:space="preserve">שבעת האילוצים הבאים נאכפים אוטומטית על כל ארגון שנוצר החל מ־3 במאי 2024 (וחלק מהארגונים שנוצרו בין פברואר לאפריל 2024). הם מהווים את רצפת האבטחה של Google ואין להסירם ללא הצדקה מתועדת ואישור גורם האבטחה.</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400"/>
        <w:gridCol w:w="3900"/>
        <w:gridCol w:w="3858"/>
      </w:tblGrid>
      <w:tr>
        <w:trPr>
          <w:tblHeader/>
        </w:trPr>
        <w:tc>
          <w:tcPr>
            <w:tcW w:type="dxa" w:w="28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34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39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385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השפעת האכיפה</w:t>
            </w:r>
          </w:p>
        </w:tc>
      </w:tr>
      <w:tr>
        <w:tc>
          <w:tcPr>
            <w:tcW w:type="dxa" w:w="28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יצירת מפתחות לחשבון שירות</w:t>
            </w:r>
          </w:p>
        </w:tc>
        <w:tc>
          <w:tcPr>
            <w:tcW w:type="dxa" w:w="34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constraints/iam.managed.disableServiceAccountKeyCreation</w:t>
            </w:r>
          </w:p>
        </w:tc>
        <w:tc>
          <w:tcPr>
            <w:tcW w:type="dxa" w:w="3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יצירת מפתחות קבועים לחשבונות שירות.</w:t>
            </w:r>
          </w:p>
        </w:tc>
        <w:tc>
          <w:tcPr>
            <w:tcW w:type="dxa" w:w="3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מצמצם את הסיכון לחשיפת אישורי חשבון שירות.</w:t>
            </w:r>
          </w:p>
        </w:tc>
      </w:tr>
      <w:tr>
        <w:tc>
          <w:tcPr>
            <w:tcW w:type="dxa" w:w="28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העלאת מפתחות לחשבון שירות</w:t>
            </w:r>
          </w:p>
        </w:tc>
        <w:tc>
          <w:tcPr>
            <w:tcW w:type="dxa" w:w="34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constraints/iam.disableServiceAccountKeyUpload</w:t>
            </w:r>
          </w:p>
        </w:tc>
        <w:tc>
          <w:tcPr>
            <w:tcW w:type="dxa" w:w="3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העלאת מפתחות ציבוריים חיצוניים לחשבונות שירות.</w:t>
            </w:r>
          </w:p>
        </w:tc>
        <w:tc>
          <w:tcPr>
            <w:tcW w:type="dxa" w:w="3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מצמצם את הסיכון לחשיפת אישורי חשבון שירות.</w:t>
            </w:r>
          </w:p>
        </w:tc>
      </w:tr>
      <w:tr>
        <w:tc>
          <w:tcPr>
            <w:tcW w:type="dxa" w:w="28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מניעת הענקת Editor לחשבונות ברירת מחדל</w:t>
            </w:r>
          </w:p>
        </w:tc>
        <w:tc>
          <w:tcPr>
            <w:tcW w:type="dxa" w:w="34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constraints/iam.automaticIamGrantsForDefaultServiceAccounts</w:t>
            </w:r>
          </w:p>
        </w:tc>
        <w:tc>
          <w:tcPr>
            <w:tcW w:type="dxa" w:w="3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מחשבונות השירות שנוצרים כברירת מחדל לקבל את התפקיד המתירני Editor בעת היצירה.</w:t>
            </w:r>
          </w:p>
        </w:tc>
        <w:tc>
          <w:tcPr>
            <w:tcW w:type="dxa" w:w="3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התפקיד Editor מאפשר יצירה ומחיקה של משאבים ברוב השירותים — פרצה חמורה אם החשבון נפרץ.</w:t>
            </w:r>
          </w:p>
        </w:tc>
      </w:tr>
      <w:tr>
        <w:tc>
          <w:tcPr>
            <w:tcW w:type="dxa" w:w="28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זהויות לפי דומיין</w:t>
            </w:r>
          </w:p>
        </w:tc>
        <w:tc>
          <w:tcPr>
            <w:tcW w:type="dxa" w:w="34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constraints/iam.allowedPolicyMemberDomains</w:t>
            </w:r>
          </w:p>
        </w:tc>
        <w:tc>
          <w:tcPr>
            <w:tcW w:type="dxa" w:w="3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שיתוף משאבים לזהויות השייכות לארגון או ל־Customer ID מסוים של Workspace.</w:t>
            </w:r>
          </w:p>
        </w:tc>
        <w:tc>
          <w:tcPr>
            <w:tcW w:type="dxa" w:w="3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השארת הארגון פתוח לגורמים מדומיינים אחרים יוצרת פרצה.</w:t>
            </w:r>
          </w:p>
        </w:tc>
      </w:tr>
      <w:tr>
        <w:tc>
          <w:tcPr>
            <w:tcW w:type="dxa" w:w="28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אנשי קשר לפי דומיין</w:t>
            </w:r>
          </w:p>
        </w:tc>
        <w:tc>
          <w:tcPr>
            <w:tcW w:type="dxa" w:w="34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constraints/essentialcontacts.managed.allowedContactDomains</w:t>
            </w:r>
          </w:p>
        </w:tc>
        <w:tc>
          <w:tcPr>
            <w:tcW w:type="dxa" w:w="3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מתיר רק זהויות מנוהלות בדומיינים נבחרים לקבל התראות פלטפורמה.</w:t>
            </w:r>
          </w:p>
        </w:tc>
        <w:tc>
          <w:tcPr>
            <w:tcW w:type="dxa" w:w="3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גורם עוין בדומיין אחר עלול להתווסף כאיש קשר ולפגוע במצב האבטחה.</w:t>
            </w:r>
          </w:p>
        </w:tc>
      </w:tr>
      <w:tr>
        <w:tc>
          <w:tcPr>
            <w:tcW w:type="dxa" w:w="28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Protocol Forwarding לפי סוג כתובת</w:t>
            </w:r>
          </w:p>
        </w:tc>
        <w:tc>
          <w:tcPr>
            <w:tcW w:type="dxa" w:w="34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constraints/compute.managed.restrictProtocolForwardingCreationForTypes</w:t>
            </w:r>
          </w:p>
        </w:tc>
        <w:tc>
          <w:tcPr>
            <w:tcW w:type="dxa" w:w="3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את הגדרת ה־protocol forwarding לכתובות פנימיות בלבד.</w:t>
            </w:r>
          </w:p>
        </w:tc>
        <w:tc>
          <w:tcPr>
            <w:tcW w:type="dxa" w:w="3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מגן על target instances מחשיפה לתעבורה חיצונית.</w:t>
            </w:r>
          </w:p>
        </w:tc>
      </w:tr>
      <w:tr>
        <w:tc>
          <w:tcPr>
            <w:tcW w:type="dxa" w:w="28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גישה אחידה ברמת Bucket</w:t>
            </w:r>
          </w:p>
        </w:tc>
        <w:tc>
          <w:tcPr>
            <w:tcW w:type="dxa" w:w="34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constraints/storage.uniformBucketLevelAccess</w:t>
            </w:r>
          </w:p>
        </w:tc>
        <w:tc>
          <w:tcPr>
            <w:tcW w:type="dxa" w:w="3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שימוש ב־ACL ברמת אובייקט ב־Cloud Storage כמנגנון הענקת גישה.</w:t>
            </w:r>
          </w:p>
        </w:tc>
        <w:tc>
          <w:tcPr>
            <w:tcW w:type="dxa" w:w="3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אוכף עקביות בניהול הגישה ובביקורת.</w:t>
            </w:r>
          </w:p>
        </w:tc>
      </w:tr>
    </w:tbl>
    <w:p>
      <w:pPr>
        <w:pStyle w:val="Heading2"/>
        <w:bidi/>
        <w:spacing w:after="140" w:before="320"/>
        <w:jc w:val="right"/>
      </w:pPr>
      <w:r>
        <w:rPr>
          <w:rFonts w:ascii="Arial" w:cs="Arial" w:eastAsia="Arial" w:hAnsi="Arial"/>
          <w:b/>
          <w:bCs/>
          <w:i w:val="false"/>
          <w:iCs w:val="false"/>
          <w:color w:val="1F3864"/>
          <w:sz w:val="26"/>
          <w:szCs w:val="26"/>
          <w:rtl/>
        </w:rPr>
        <w:t xml:space="preserve">6. אילוצים בעלי התנהגות ברירת מחדל מגבילה</w:t>
      </w:r>
    </w:p>
    <w:p>
      <w:pPr>
        <w:bidi/>
        <w:spacing w:after="120" w:line="260"/>
        <w:jc w:val="right"/>
      </w:pPr>
      <w:r>
        <w:rPr>
          <w:rFonts w:ascii="Arial" w:cs="Arial" w:eastAsia="Arial" w:hAnsi="Arial"/>
          <w:b w:val="false"/>
          <w:bCs w:val="false"/>
          <w:i w:val="false"/>
          <w:iCs w:val="false"/>
          <w:sz w:val="20"/>
          <w:szCs w:val="20"/>
          <w:rtl/>
        </w:rPr>
        <w:t xml:space="preserve">באילוצים הבאים, התנהגות ברירת המחדל של Google מגבילה פעולות — כלומר הפעולה חסומה גם אם מעולם לא הוגדרה מדיניות ארגונית מפורשת. כדי לאפשר את הפעולה יש ליצור מדיניות שמבטלת (override) את מדיניות האב. זהו מקור נפוץ לתקלות "בלתי מוסברות" בפרויקטים חדשים.</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58"/>
        <w:gridCol w:w="3500"/>
      </w:tblGrid>
      <w:tr>
        <w:trPr>
          <w:tblHeader/>
        </w:trPr>
        <w:tc>
          <w:tcPr>
            <w:tcW w:type="dxa" w:w="1045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35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constraints/appengine.runtimeDeploymentExemption</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constraints/cloudbuild.disableCreateDefaultServiceAccount</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constraints/cloudbuild.useBuildServiceAccount</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constraints/cloudbuild.useComputeServiceAccount</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constraints/commerceorggovernance.marketplaceServices</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constraints/compute.managed.blockPreviewFeatures</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constraints/compute.sharedReservationsOwnerProjects</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constraints/container.managed.autopilotPrivilegedAdmission</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constraints/discoveryengine.managed.allowedDataSources</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constraints/discoveryengine.managed.allowedEgressFqdns</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constraints/discoveryengine.managed.disableCustomMcpServerConnector</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constraints/iam.allowServiceAccountCredentialLifetimeExtension</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constraints/iam.disableCrossProjectServiceAccountUsage</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constraints/iam.managed.disableAccessPolicyBinding</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constraints/iam.managed.disableServiceAccountApiKeyCreation</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constraints/iam.serviceAccountKeyExposureResponse</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constraints/resourcemanager.allowedExportDestinations</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constraints/resourcemanager.allowedImportSources</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constraints/resourcemanager.allowEnabledServicesForExport</w:t>
            </w:r>
          </w:p>
        </w:tc>
        <w:tc>
          <w:tcPr>
            <w:tcW w:type="dxa" w:w="35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r>
        <w:tc>
          <w:tcPr>
            <w:tcW w:type="dxa" w:w="104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constraints/vertexai.allowedPartnerModelFeatures</w:t>
            </w:r>
          </w:p>
        </w:tc>
        <w:tc>
          <w:tcPr>
            <w:tcW w:type="dxa" w:w="35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(legacy)</w:t>
            </w:r>
          </w:p>
        </w:tc>
      </w:tr>
    </w:tbl>
    <w:p>
      <w:pPr>
        <w:pStyle w:val="Heading2"/>
        <w:bidi/>
        <w:spacing w:after="140" w:before="320"/>
        <w:jc w:val="right"/>
      </w:pPr>
      <w:r>
        <w:rPr>
          <w:rFonts w:ascii="Arial" w:cs="Arial" w:eastAsia="Arial" w:hAnsi="Arial"/>
          <w:b/>
          <w:bCs/>
          <w:i w:val="false"/>
          <w:iCs w:val="false"/>
          <w:color w:val="1F3864"/>
          <w:sz w:val="26"/>
          <w:szCs w:val="26"/>
          <w:rtl/>
        </w:rPr>
        <w:t xml:space="preserve">7. פירוט האילוצים לפי שירות ומשאב</w:t>
      </w:r>
    </w:p>
    <w:p>
      <w:pPr>
        <w:bidi/>
        <w:spacing w:after="120" w:line="260"/>
        <w:jc w:val="right"/>
      </w:pPr>
      <w:r>
        <w:rPr>
          <w:rFonts w:ascii="Arial" w:cs="Arial" w:eastAsia="Arial" w:hAnsi="Arial"/>
          <w:b w:val="false"/>
          <w:bCs w:val="false"/>
          <w:i w:val="false"/>
          <w:iCs w:val="false"/>
          <w:sz w:val="20"/>
          <w:szCs w:val="20"/>
          <w:rtl/>
        </w:rPr>
        <w:t xml:space="preserve">הטבלאות הבאות מפרטות את האילוצים הזמינים, בחלוקה לפי שירות Google Cloud. במקומות שבהם קיימות שתי גרסאות לאותו אילוץ (managed ו־legacy), שתיהן מופיעות — יש לבחור אחת בלבד לאכיפה בפועל.</w:t>
      </w:r>
    </w:p>
    <w:p>
      <w:pPr>
        <w:pStyle w:val="Heading3"/>
        <w:bidi/>
        <w:spacing w:after="100" w:before="260"/>
        <w:jc w:val="right"/>
      </w:pPr>
      <w:r>
        <w:rPr>
          <w:rFonts w:ascii="Arial" w:cs="Arial" w:eastAsia="Arial" w:hAnsi="Arial"/>
          <w:b/>
          <w:bCs/>
          <w:i w:val="false"/>
          <w:iCs w:val="false"/>
          <w:color w:val="2E5C8A"/>
          <w:sz w:val="23"/>
          <w:szCs w:val="23"/>
          <w:rtl/>
        </w:rPr>
        <w:t xml:space="preserve">7.1  אילוצים חוצי־פלטפורמה (gcp.*)  (7 אילוצים)</w:t>
      </w:r>
    </w:p>
    <w:p>
      <w:pPr>
        <w:bidi/>
        <w:spacing w:after="100" w:line="260"/>
        <w:jc w:val="right"/>
      </w:pPr>
      <w:r>
        <w:rPr>
          <w:rFonts w:ascii="Arial" w:cs="Arial" w:eastAsia="Arial" w:hAnsi="Arial"/>
          <w:b w:val="false"/>
          <w:bCs w:val="false"/>
          <w:i w:val="false"/>
          <w:iCs w:val="false"/>
          <w:sz w:val="19"/>
          <w:szCs w:val="19"/>
          <w:rtl/>
        </w:rPr>
        <w:t xml:space="preserve">אילוצים אלה אינם משויכים לשירות בודד אלא חלים על כלל היררכיית המשאבים. זהו הבסיס לריבונות נתונים, לצמצום משטח השירותים ולאכיפת הצפנה בניהול הלקוח.</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מיקומי משאבים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constraints/gcp.resourceLocations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קבוצת האזורים (regions) והמולטי־אזורים שבהם ניתן ליצור משאבים מבוססי מיקום.</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in:europe-west-locations (או קבוצת האזורים המאושרת רגולטורית)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יצירת משאבים מחוץ לגבול הגאוגרפי המאושר והפרת דרישות data residency.</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שימוש בשירותים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constraints/gcp.restrictServiceUsage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שירותי Google Cloud מותרים לשימוש בארגון, בתיקייה או בפרויקט.</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allow-list של השירותים המאושרים בלבד; deny לשאר</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Shadow IT, הרחבת משטח התקיפה ושימוש בשירותים שלא עברו הערכת סיכונים.</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CMEK בשירותים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constraints/gcp.restrictNonCmekServices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שימוש במפתח בניהול הלקוח (CMEK) בעת יצירת משאבים בשירותים שצוינו.</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storage.googleapis.com, bigquery.googleapis.com, compute.googleapis.com</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נתונים רגישים מוצפנים במפתחות Google בלבד — ללא יכולת שלילת גישה (key revocation) מצד הארגון.</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פרויקטי מפתחות CMEK</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constraints/gcp.restrictCmekCryptoKeyProjects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מאילו פרויקטים מותר לבחור מפתחות CMEK לשימוש במשאבים.</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under:projects/PROJECT_KMS (פרויקט המפתחות הייעודי)</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שימוש במפתחות מפרויקטים לא מנוהלים ואובדן הפרדת תפקידים בין בעל הנתונים לבעל המפתח.</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גרסאות TLS</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constraints/gcp.restrictTLSVersion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 (deny בלבד)</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גרסאות TLS ישנות בבקשות ל־API של Google Cloud. האילוץ תומך ברשימת חסימה בלבד.</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TLS_VERSION_1, TLS_VERSION_1_1</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קבלת חיבורים בפרוטוקולי הצפנה מיושנים וכשל בביקורות תאימות (PCI-DSS, ISO 27001).</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תיעוד ביקורת מפורט</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constraints/gcp.detailedAuditLoggingMode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מפעיל תיעוד מלא של גוף הבקשה והתשובה ב־Cloud Audit Logs (רלוונטי בעיקר ל־Cloud Storage).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רגולטוריות בלבד (משפיע על נפח לוגים ועלות)</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חוסר ראיות פורנזיות ברמת פירוט מספקת לחקירת אירוע.</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השבתת Cloud Logging</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constraints/gcp.disableCloudLogging</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משבית כתיבת לוגים ל־Cloud Logging. נועד לסביבות Assured Workloads בעלות דרישות ריבונות מחמירות.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 אלא אם קיימת דרישה רגולטורית מפורשת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אין סיכון באי־אכיפה; אכיפה שגויה גורמת לאובדן טלמטריה ויכולת גילוי.</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7.2  Identity and Access Management (IAM)  (18 אילוצים)</w:t>
      </w:r>
    </w:p>
    <w:p>
      <w:pPr>
        <w:bidi/>
        <w:spacing w:after="100" w:line="260"/>
        <w:jc w:val="right"/>
      </w:pPr>
      <w:r>
        <w:rPr>
          <w:rFonts w:ascii="Arial" w:cs="Arial" w:eastAsia="Arial" w:hAnsi="Arial"/>
          <w:b w:val="false"/>
          <w:bCs w:val="false"/>
          <w:i w:val="false"/>
          <w:iCs w:val="false"/>
          <w:sz w:val="19"/>
          <w:szCs w:val="19"/>
          <w:rtl/>
        </w:rPr>
        <w:t xml:space="preserve">קבוצת האילוצים הקריטית ביותר. חמישה מתוך שבעת אילוצי ה־Security Baseline של Google שייכים לקבוצה זו. הערה: Google מעבירה בהדרגה אילוצים אלה מ־legacy לגרסת managed (iam.managed.*) — יש להעדיף את גרסת ה־managed בפריסות חדשות.</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חברים מותרים במדיניות IAM</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constraints/iam.managed.allowedPolicyMembers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קבוצות principal ארגוניות ניתן להעניק להן תפקידי IAM בארגון. הזהות הארגונית עצמה אינה מותרת אוטומטית ויש לכלול אותה במפורש.</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principalSet של הארגון + ספקים חיצוניים מאושרים</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הענקת הרשאות לזהויות חיצוניות לא מבוקרות — הדלפת נתונים דרך שיתוף חוצה־ארגון.</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זהויות לפי דומיין (DRS)</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constraints/iam.allowedPolicyMemberDomains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Domain Restricted Sharing — מגביל את הדומיינים / Customer IDs שמותר לצרף כ־principal בכל binding של IAM בהיררכיה.</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Customer ID של ה־Workspace הארגוני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שיתוף משאבים עם חשבונות Gmail פרטיים או ארגונים זרים; וקטור מרכזי לדליפת נתונים.</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מניעת הענקה אוטומטית של Editor לחשבונות שירות מוגדרים כברירת מחדל</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constraints/iam.automaticIamGrantsForDefaultServiceAccounts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הענקה אוטומטית של התפקיד roles/editor לחשבונות השירות שנוצרים כברירת מחדל (Compute Engine / App Engine).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(True)</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חשבון שירות של מכונה מקבל הרשאות כתיבה כמעט לכל השירותים בפרויקט — הסלמת הרשאות מיידית בפריצה למכונה.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מניעת תפקידי בסיס לחשבונות ברירת מחדל</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constraints/iam.managed.preventPrivilegedBasicRolesForDefaultServiceAccounts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הענקה של roles/editor או roles/owner לחשבונות השירות של Compute Engine ו־App Engine — בכל שלב, לא רק ביצירה.</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עקיפה ידנית של הגנת ההענקה האוטומטית והחזרת מצב ההרשאות המופרז.</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יצירת מפתחות לחשבונות שירות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constraints/iam.managed.disableServiceAccountKeyCreation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יצירת מפתחות חיצוניים לחשבונות שירות וכן מפתחות HMAC של Cloud Storage.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(חלק מ־Security Baseline)</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אישורים ארוכי־טווח (JSON keys) שדולפים ל־Git, לוגים או תחנות קצה — הסיבה הנפוצה ביותר לפריצות ענן.</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יצירת מפתחות (legacy)</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constraints/iam.disableServiceAccountKeyCreation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הישנה של האילוץ לחסימת יצירת מפתחות לחשבונות שירות.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 או מעבר לגרסת managed</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העלאת מפתחות ציבוריים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constraints/iam.managed.disableServiceAccountKeyUpload</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העלאת מפתחות ציבוריים חיצוניים לחשבונות שירות.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(חלק מ־Security Baseline)</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עקיפת חסימת יצירת המפתחות באמצעות זוג מפתחות שנוצר מחוץ ל־Google Cloud.</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העלאת מפתחות (legacy)</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constraints/iam.disableServiceAccountKeyUpload</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הישנה של אילוץ חסימת העלאת מפתחות ציבוריים.</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(חלק מ־Security Baseline)</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יצירת חשבונות שירות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constraints/iam.managed.disableServiceAccountCreation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יצירת חשבונות שירות חדשים ומאפשר ניהול מרוכז שלהם.</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בפרויקטים של ייצור; מוחרג בפרויקט הזהויות המרכזי</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ריבוי חשבונות שירות לא מתועדים ללא בעלות — נקודות עיוורון בביקורת גישה.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יצירת חשבונות שירות (legacy)</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constraints/iam.disableServiceAccountCreation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הישנה של אילוץ חסימת יצירת חשבונות שירות.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 מעבר ל־managed</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מפתחות API מקושרים לחשבון שירות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constraints/iam.managed.disableServiceAccountApiKeyCreation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יצירת מפתחות API הקשורים לחשבון שירות, אלא אם היעדים מוגבלים לרשימת השירותים המותרת. נאכף כברירת מחדל על ידי Google.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 להגדיר allowedServices במידת הצורך</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מפתח API סטטי המקנה גישה בזהות חשבון השירות — עקיפת בקרות IAM.</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שימוש חוצה־פרויקטים בחשבון שירות</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constraints/iam.disableCrossProjectServiceAccountUsage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צירוף חשבון שירות מפרויקט אחד למשאב בפרויקט אחר. נאכף כברירת מחדל על ידי Google.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 לבטל נקודתית רק לתרחיש מתועד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טשטוש גבולות הרשאה בין פרויקטים ותנועה רוחבית בין סביבות.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הארכת תוקף אישורי חשבון שירות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constraints/iam.allowServiceAccountCredentialLifetimeExtension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חשבונות שירות רשאים להנפיק access tokens בתוקף ארוך מ־12 שעות (עד 12 שעות במקום שעה).</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ריק (ללא חריגים) אלא אם קיים צורך מתועד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חלון ניצול ארוך לאסימון שנגנב.</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תגובה לחשיפת מפתח חשבון שירות</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constraints/iam.serviceAccountKeyExposureResponse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קובע את התגובה האוטומטית של Google כאשר מפתח חשבון שירות מזוהה כחשוף בפומבי. נאכף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DISABLE_KEY — השבתה אוטומטית של המפתח</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המשך שימוש במפתח שדלף עד לגילוי ידני.</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ספקי זהות מותרים ל־Workload Identity</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constraints/iam.managed.workloadIdentityPoolProviders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ספקי זהות חיצוניים (לפי URI) ניתן להגדיר עבור אימות workloads.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ה־issuers של ספקי הזהות המאושרים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פדרציה מול IdP לא מאושר — כניסת זהויות חיצוניות לארגון.</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ספקי זהות מותרים (legacy)</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constraints/iam.workloadIdentityPoolProviders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הישנה של הגבלת ספקי הזהות ל־Workload Identity Federation.</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allow-list של ה־issuers המאושרים</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חשבונות AWS מותרים ל־Workload Identity</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constraints/iam.workloadIdentityPoolAwsAccounts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אילו חשבונות AWS יכולים להתפדרר אל תוך הארגון.</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מזהי חשבונות AWS של הארגון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פדרציה מחשבון AWS זר אל תוך הארגון.</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קישור מדיניות גישה למשאב</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constraints/iam.managed.disableAccessPolicyBinding</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קישור של מדיניות גישה מסוג V3 למשאבים. נאכף כברירת מחדל על ידי Google.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שימוש במנגנון הרשאות חלופי שאינו מכוסה בתהליכי הביקורת הקיימים.</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7.3  Resource Manager, ארגון ופרויקטים  (4 אילוצים)</w:t>
      </w:r>
    </w:p>
    <w:p>
      <w:pPr>
        <w:bidi/>
        <w:spacing w:after="100" w:line="260"/>
        <w:jc w:val="right"/>
      </w:pPr>
      <w:r>
        <w:rPr>
          <w:rFonts w:ascii="Arial" w:cs="Arial" w:eastAsia="Arial" w:hAnsi="Arial"/>
          <w:b w:val="false"/>
          <w:bCs w:val="false"/>
          <w:i w:val="false"/>
          <w:iCs w:val="false"/>
          <w:sz w:val="19"/>
          <w:szCs w:val="19"/>
          <w:rtl/>
        </w:rPr>
        <w:t xml:space="preserve">בקרות ברמת ההיררכיה עצמה — ייצוא/ייבוא נתונים בין ארגונים והגבלת שירותים ברמת ה־Service Usage.</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יעדי ייצוא מותרים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constraints/resourcemanager.allowedExportDestinations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לאילו ארגוני יעד מותר לייצא פרויקטים או נתונים מתוך הארגון. נאכף כברירת מחדל.</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 ללא יעדים מותרים אלא אם קיים תרחיש מיזוג מתועד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הוצאת פרויקט שלם על נתוניו אל ארגון חיצוני.</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מקורות ייבוא מותרים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constraints/resourcemanager.allowedImportSources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מאילו ארגוני מקור מותר לייבא פרויקטים אל הארגון. נאכף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 להתיר נקודתית בעת קליטת חברה</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כניסת פרויקט לא מבוקר ולא מוקשח אל תוך היררכיית הייצור.</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שירותים מותרים בייצוא</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constraints/resourcemanager.allowEnabledServicesForExport</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שירותים מופעלים מותרים בפרויקט המיוצא. נאכף כברירת מחדל.</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ייצוא פרויקט הכולל שירותים רגישים אל ארגון שאינו כפוף לבקרות.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שירותים מותרים (Service Usage)</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constraints/serviceuser.services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ותיק המגדיר אילו שירותים ניתן להפעיל בפרויקט. הוחלף בפועל על ידי gcp.restrictServiceUsage.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להעדיף את gcp.restrictServiceUsage</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הפעלת APIs שלא נבחנו על ידי צוות האבטחה.</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7.4  Compute Engine — מכונות, זהות וגישה  (31 אילוצים)</w:t>
      </w:r>
    </w:p>
    <w:p>
      <w:pPr>
        <w:bidi/>
        <w:spacing w:after="100" w:line="260"/>
        <w:jc w:val="right"/>
      </w:pPr>
      <w:r>
        <w:rPr>
          <w:rFonts w:ascii="Arial" w:cs="Arial" w:eastAsia="Arial" w:hAnsi="Arial"/>
          <w:b w:val="false"/>
          <w:bCs w:val="false"/>
          <w:i w:val="false"/>
          <w:iCs w:val="false"/>
          <w:sz w:val="19"/>
          <w:szCs w:val="19"/>
          <w:rtl/>
        </w:rPr>
        <w:t xml:space="preserve">בקרות ברמת ה־VM: אימות מבוסס־IAM (OS Login), אתחול מאובטח, גישת קונסולה טורית וניהול תצורה.</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OS Login</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constraints/compute.managed.requireOsLogin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OS Login בכל הפרויקטים החדשים ומונע עדכוני metadata המשביתים אותו ברמת פרויקט, אזור או מכונה.</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החרגות נקודתיות באמצעות tags וכללים מותנים</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גישת SSH מבוססת מפתחות metadata ללא קשר ל־IAM — אין ביטול גישה מרכזי בעזיבת עובד.</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OS Login (legacy)</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constraints/compute.requireOsLogin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הישנה של חיוב OS Login, ללא תמיכה בכללים מותנים.</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 מעבר לגרסת managed</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מפתחות SSH ברמת פרויקט</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constraints/compute.managed.blockProjectSshKeys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הגדרת המפתח block-project-ssh-keys כ־false, כלומר מחייב חסימת מפתחות SSH ברמת הפרויקט. אינו משפיע רטרואקטיבית על מכונות קיימות.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מפתח SSH יחיד ברמת פרויקט מקנה גישה לכל המכונות בו.</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Shielded VM</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constraints/compute.requireShieldedVm</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שכל מכונה חדשה תשתמש בתמונת Shielded עם Secure Boot, vTPM וניטור שלמות.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מכונות ללא הגנת אתחול — חשיפה ל־rootkits ולשינוי תמונת האתחול.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Confidential Computing</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constraints/compute.managed.restrictNonConfidentialComputing</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 (Preview)</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יצירת מכונות חדשות עם Confidential Computing מופעל. ניתן להחריג באמצעות tags.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רק בסביבות המעבדות נתונים רגישים במיוחד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נתונים בשימוש (in-use) אינם מוצפנים ברמת החומרה.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Confidential Computing (legacy)</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constraints/compute.restrictNonConfidentialComputing</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 (deny)</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רשימת חסימה של שירותים שבהם חובה ליצור משאבים עם Confidential Computing. תומך ב־compute.googleapis.com ו־container.googleapis.com.</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לשירותים הרלוונטיים בסביבות רגישות</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גישה לפורט טורי</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constraints/compute.disableSerialPortAccess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גישה לפורט הטורי של מכונות, ללא תלות בהגדרות ה־metadata של המכונה.</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עקיפת מנגנוני האימות והתיעוד של OS Login דרך קונסולה טורית.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גישה גלובלית לפורט טורי</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constraints/compute.disableGlobalSerialPortAccess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גישה גלובלית לפורט הטורי בלבד; גישה אזורית אינה מושפעת. לחסימה מלאה יש להשתמש ב־compute.disableSerialPortAccess.</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(בנוסף לאילוץ הגישה המלא)</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ערוץ גישה גלובלי פתוח למכונות.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metadata להפעלת פורט טורי</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constraints/compute.managed.disableSerialPortAccess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הגדרת מפתח ה־metadata בשם serial-port-enable לערך true. אינו משפיע על מכונות קיימות שכבר הופעלו.</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הפעלה עצמאית של גישה טורית על ידי מפתחים.</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תיעוד פורט טורי ל־Logging</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constraints/compute.disableSerialPortLogging</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משבית שליחת פלט הפורט הטורי אל Cloud Logging. יש לוודא שאין שירותים (כגון GKE) התלויים בכך.</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כברירת מחדל — הלוגים בעלי ערך פורנזי</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אכיפה שגויה פוגעת ביכולת חקירה ובתפקוד GKE.</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תיעוד פורט טורי (managed)</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constraints/compute.managed.disableSerialPortLogging</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עם אפשרות להחרגת מכונות באמצעות tags.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כברירת מחדל</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Guest Attributes</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constraints/compute.disableGuestAttributesAccess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גישת ה־API של Compute Engine אל Guest Attributes של מכונות.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ערוץ תקשורת חד־כיווני מהמכונה החוצה — נתיב אפשרי לחילוץ נתונים.</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Guest Attributes (managed)</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constraints/compute.managed.disableGuestAttributesAccess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 (Preview)</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עם אפשרות להחרגה באמצעות tags וכללים מותנים.</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וירטואליזציה מקוננת</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constraints/compute.disableNestedVirtualization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משבית וירטואליזציה מקוננת בהאצת חומרה בכל מכונות ה־Compute Engine.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הרצת סביבות אורח נסתרות שאינן מנוטרות על ידי סוכני האבטחה.</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וירטואליזציה מקוננת (managed)</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constraints/compute.managed.disableNestedVirtualization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של חסימת וירטואליזציה מקוננת.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SSH בדפדפן</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constraints/compute.disableSshInBrowser</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משבית את כלי ה־SSH-in-browser בקונסולה עבור מכונות המשתמשות ב־OS Login ומכונות App Engine Flexible.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המחייבות גישה דרך bastion מנוטר</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גישה אינטראקטיבית למכונות מחוץ לנתיב הגישה המבוקר והמוקלט.</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VM Manager (OS Config)</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constraints/compute.requireOsConfig</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מפעיל את VM Manager בכל הפרויקטים החדשים ומונע עדכוני metadata המשביתים אותו.</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היעדר ניהול טלאים וניהול תצורה מרכזי — מכונות ללא עדכוני אבטחה.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VM Manager (managed)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constraints/compute.managed.requireOsConfig</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כולל חסימה ברמת פרויקט־אזור ואפשרות החרגה ב־tags.</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מכונות שאינן תואמות FIPS</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constraints/compute.disableNonFIPSMachineTypes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יצירת סוגי מכונות שאינם עומדים בדרישות FIPS.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עם דרישת FIPS 140-2/3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שימוש בחומרה שאינה מאושרת לתקן ההצפנה הנדרש.</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מכונות שאינן FIPS (managed)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constraints/compute.managed.disableNonFIPSMachineTypes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 (Preview)</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כולל חסימה בעדכון מכונה ואפשרות החרגה ב־tags.</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רלוונטיות</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סוכן קונטיינרים מיושן (konlet)</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constraints/compute.managed.disableVmsWithContainerStartupAgent</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 (Preview)</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יצירת מכונות עם המפתח gce-container-declaration, כולל דרך instance templates ו־MIGs.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הרצת קונטיינרים דרך סוכן שאינו נתמך ואינו מקבל עדכוני אבטחה.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תכונות Preview</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constraints/compute.managed.blockPreviewFeatures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תכונות Preview של Compute Engine (Alpha API) כברירת מחדל; ניתן להתיר תכונות ספציפיות ברשימה. נאכף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 להתיר נקודתית לפי צורך עסקי</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שימוש בתכונות ללא SLA ובלעדי בדיקות אבטחה מלאות בסביבת ייצור.</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שימוש בדיסקים ותמונות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constraints/compute.storageResourceUseRestrictions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פרויקטים רשאים לצרוך משאבי אחסון של Compute Engine (דיסקים, תמונות, snapshots).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under:organizations/ORG_ID</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שיתוף snapshot המכיל נתונים רגישים אל פרויקט מחוץ לארגון.</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פרויקטי תמונות מהימנים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constraints/compute.trustedImageProjects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מאילו פרויקטים ניתן ליצור דיסקי אתחול למכונות.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פרויקטי התמונות הרשמיים + פרויקט התמונות המוקשחות של הארגון</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הרצת מכונות מתמונה ציבורית לא מאומתת — שרשרת אספקה נגועה.</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פרויקטים בעלי הזמנות משותפות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constraints/compute.sharedReservationsOwnerProjects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פרויקטים רשאים ליצור ולהחזיק Shared Reservations. נאכף כברירת מחדל.</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פרויקט התשתית המרכזי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צריכת קיבולת שמורה על ידי פרויקטים לא מורשים.</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דילוג על יצירת רשת ברירת מחדל</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constraints/compute.skipDefaultNetworkCreation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מדלג על יצירת רשת ה־default וכללי ה־firewall הנלווים בעת יצירת פרויקט חדש.</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רשת default עם כללי firewall מתירניים (SSH/RDP מכל מקום) בכל פרויקט חדש.</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DNS אזורי בלבד לפרויקטים חדשים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constraints/compute.setNewProjectDefaultToZonalDNSOnly</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פרויקטים חדשים לשימוש ב־Zonal DNS כברירת מחדל. חלק מ־Security Baseline של Google.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תלות ב־Global DNS עם רדיוס כשל רחב יותר.</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gDNS בפרויקטים אזוריים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constraints/compute.managed.disallowGlobalDns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שימוש ב־Global Internal DNS בפרויקטים המוגדרים ZonalOnly. מחייב הגדרת vmDnsSetting=ZonalOnly במפורש.</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בשילוב עם האילוץ הקודם</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חזרה ל־gDNS ועקיפת החלטת הארכיטקטורה.</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fail-open במידע מכסות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constraints/compute.requireBasicQuotaInResponse</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מבטל התנהגות fail-open בקריאות regions.list, regions.get ו-projects.get כאשר מידע המכסות אינו זמין.</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(השפעה תפעולית)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החלטות אוטומציה על בסיס מידע מכסות חלקי.</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הגנה על זיכרון לצורכי תאימות</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constraints/compute.enableComplianceMemoryProtection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Assured Workloads — מצמצם נתיבי גישה לזיכרון הליבה של מכונות. אין להגדיר ידנית.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מנוהל אוטומטית על ידי Assured Workloads</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שינוי ידני עלול לשבור את מעטפת התאימות.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APIs לגישה לנתוני מכונה</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constraints/compute.disableInstanceDataAccessApis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Assured Workloads — משבית את GetSerialPortOutput ו־GetScreenshot. אין להגדיר ידנית.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מנוהל אוטומטית על ידי Assured Workloads</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שינוי ידני עלול לשבור את מעטפת התאימות.</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7.5  Compute Engine — רשת ותקשורת  (33 אילוצים)</w:t>
      </w:r>
    </w:p>
    <w:p>
      <w:pPr>
        <w:bidi/>
        <w:spacing w:after="100" w:line="260"/>
        <w:jc w:val="right"/>
      </w:pPr>
      <w:r>
        <w:rPr>
          <w:rFonts w:ascii="Arial" w:cs="Arial" w:eastAsia="Arial" w:hAnsi="Arial"/>
          <w:b w:val="false"/>
          <w:bCs w:val="false"/>
          <w:i w:val="false"/>
          <w:iCs w:val="false"/>
          <w:sz w:val="19"/>
          <w:szCs w:val="19"/>
          <w:rtl/>
        </w:rPr>
        <w:t xml:space="preserve">בקרות הרשת הן שכבת ההגנה השנייה בחשיבותה אחרי IAM: מניעת חשיפה ישירה לאינטרנט, שליטה בטופולוגיית ה־VPC ובחיבורי ההיברידיות.</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כתובות IP חיצוניות למכונות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constraints/compute.vmExternalIpAccess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מכונות רשאיות להשתמש בכתובות IPv4 חיצוניות. אינו מגביל IPv6.</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all — למעט רשימת חריגים מתועדת (bastion, NAT gateway)</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חשיפת מכונות ישירות לאינטרנט — הווקטור הנפוץ ביותר לסריקה וניצול.</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IP חיצוני (managed)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constraints/compute.managed.vmExternalIpAccess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חוסמת יצירה או עדכון של מכונות עם IPv4 חיצוני, עם החרגה באמצעות tags.</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IP Forwarding</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constraints/compute.vmCanIpForward</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מכונות רשאיות להפעיל IP forwarding. אינו רטרואקטיבי.</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all — למעט appliances רשת מאושרים</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הפיכת מכונה לנתב סמוי ועקיפת בקרות פילוח הרשת.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IP Forwarding (managed)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constraints/compute.managed.vmCanIpForward</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של הגבלת IP forwarding, עם החרגה באמצעות tags.</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פרויקטים מארחי Shared VPC</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constraints/compute.restrictSharedVpcHostProjects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לאילו פרויקטים מארחים של Shared VPC ניתן להתחבר כפרויקט שירות.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under:folders/NETWORK_FOLDER</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חיבור פרויקט לרשת מארחת לא מאושרת וחציית גבולות פילוח.</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תת־רשתות Shared VPC</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constraints/compute.restrictSharedVpcSubnetworks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תת־רשתות של Shared VPC משאבים זכאים רשאים לצרוך.</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תת־הרשתות של הסביבה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הצבת עומס ייצור בתת־רשת של סביבת פיתוח.</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Backend Services ב־Shared VPC</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constraints/compute.restrictSharedVpcBackendServices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Backend Services משותפים ניתן לצרוך. אינו רטרואקטיבי ואינו חל בתוך אותו פרויקט.</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לפי טופולוגיית הסביבות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חיבור מאזן עומסים ציבורי לשירותי backend של סביבה מוגנת.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שירותים חוצי־פרויקטים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constraints/compute.restrictCrossProjectServices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אילו backend buckets ו־backend services יכול urlMap לצרוך מפרויקטים אחרים. אין לשלב עם restrictSharedVpcBackendServices.</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under:folders/PROD_FOLDER</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חשיפת שירותי backend דרך urlMap בפרויקט לא מבוקר.</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VPC Peering</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constraints/compute.restrictVpcPeering</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רשתות VPC מותר לבצע מולן peering.</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under:organizations/ORG_ID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גישור רשת אל VPC של ארגון חיצוני — מעקף מלא של בקרות הפרימטר.</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כתובות עמית ב־VPN</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constraints/compute.restrictVpnPeerIPs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כתובות IP מותר להגדיר כ־peer IP במנהרות Cloud VPN.</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כתובות ה־VPN של אתרי הארגון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הקמת מנהרה מוצפנת ליעד לא מורשה — ערוץ חילוץ נתונים.</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Dedicated Interconnect</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constraints/compute.restrictDedicatedInterconnectUsage</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רשתות VPC רשאיות להשתמש ב־Dedicated Interconnect.</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רשתות ה־hub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חיבור פיזי היברידי לרשת שאינה מיועדת לכך.</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Partner Interconnect</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constraints/compute.restrictPartnerInterconnectUsage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רשתות VPC רשאיות להשתמש ב־Partner Interconnect.</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רשתות ה־hub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 דרך ספק שירות.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צרכני Private Service Connect</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constraints/compute.restrictPrivateServiceConnectConsumer</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ארגונים, תיקיות ופרויקטים רשאים להתחבר ל־service attachments של הארגון.</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under:organizations/ORG_ID</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חשיפת שירות פנימי לצרכן חיצוני דרך PSC.</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יצרני Private Service Connect</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constraints/compute.restrictPrivateServiceConnectProducer</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לאילו service attachments צרכני PSC בארגון רשאים להתחבר.</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ספקי השירות המאושרים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חיבור לשירות צד־שלישי לא מאושר וחילוץ נתונים דרכו.</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יצירת PSC לצרכנים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constraints/compute.disablePrivateServiceConnectCreationForConsumers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סוגי endpoints של PSC שעבורם אסור ליצור forwarding rules (GOOGLE_APIS / SERVICE_PRODUCERS). אינו רטרואקטיבי.</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SERVICE_PRODUCERS בסביבות מוגבלות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יצירת נתיב יציאה פרטי אל VPC חיצוני.</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Cloud NAT</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constraints/compute.restrictCloudNATUsage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תת־רשתות רשאיות להשתמש ב־Cloud NAT.</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תת־רשתות המחייבות יציאה לאינטרנט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יציאה בלתי מבוקרת לאינטרנט מכל תת־רשת, כולל סביבות מבודדות.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Internet NEGs</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constraints/compute.disableInternetNetworkEndpointGroup</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יצירת Network Endpoint Groups מסוג INTERNET_FQDN_PORT ו־INTERNET_IP_PORT.</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הפניית תעבורה דרך מאזן עומסים אל יעד אינטרנטי שרירותי.</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סוגי מאזני עומסים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constraints/compute.restrictLoadBalancerCreationForTypes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סוגי מאזני עומסים ניתן ליצור. תומך בקידומת in:INTERNAL / in:EXTERNAL.</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in:INTERNAL בסביבות פנימיות</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הקמת מאזן עומסים חיצוני וחשיפת שירות פנימי לאינטרנט.</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Protocol Forwarding</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constraints/compute.restrictProtocolForwardingCreationForTypes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האם ניתן ליצור כללי forwarding מסוג INTERNAL ו/או EXTERNAL מול target instance. חלק מ־Security Baseline.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INTERNAL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חשיפת target instance ישירות לתעבורה חיצונית.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Protocol Forwarding (managed)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constraints/compute.managed.restrictProtocolForwardingCreationForTypes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נאכפת אוטומטית בארגונים חדשים כחלק מ־Security Baseline.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INTERNAL</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מאזני עומסים גלובליים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constraints/compute.disableGlobalLoadBalancing</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יצירת מוצרי איזון עומסים גלובליים; מותרים רק מוצרים אזוריים.</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עם דרישת ריבונות אזורית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תעבורה המנותבת דרך תשתית גלובלית בניגוד לדרישת ריבונות.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מדיניות Cloud Armor גלובלית</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constraints/compute.disableGlobalCloudArmorPolicy</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יצירה ועדכון של מדיניות Cloud Armor גלובלית. מדיניות אזורית אינה מושפעת.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 Cloud Armor הוא בקרת אבטחה רצויה</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אכיפה שגויה מונעת הגנת WAF/DDoS.</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SSL Policy</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constraints/compute.requireSslPolicy</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target proxies רשאים להשתמש במדיניות ה־SSL של ברירת המחדל; שאר ה־proxies מחויבים בהגדרת מדיניות מפורשת.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all — לחייב מדיניות SSL מודרנית בכל proxy</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שימוש בצפני ברירת מחדל חלשים בנקודות הקצה החיצוניות.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תעודות SSL גלובליות בניהול עצמי</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constraints/compute.disableGlobalSelfManagedSslCertificate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יצירת תעודות SSL גלובליות בניהול עצמי; תעודות מנוהלות או אזוריות אינן מושפעות.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 לעודד תעודות מנוהלות</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תעודות בניהול ידני שפג תוקפן או שמפתחן הפרטי מנוהל בצורה לקויה.</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VPC Flow Logs</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constraints/compute.requireVpcFlowLogs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Flow Logs בכל תת־הרשתות עם קצב דגימה מינימלי: ESSENTIAL / LIGHT / COMPREHENSIVE.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is: COMPREHENSIVE בסביבות ייצור, LIGHT בפיתוח</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היעדר נראות רשת — אי־יכולת לזהות תנועה רוחבית או חילוץ נתונים.</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הצפנת VLAN Attachment</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constraints/compute.allowedVlanAttachmentEncryption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הגדרות ההצפנה המותרות ב־VLAN Attachments חדשים.</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IPSEC</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תעבורת Interconnect שאינה מוצפנת בין הארגון לענן.</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הצפנת VLAN (managed)</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constraints/compute.managed.allowedVlanAttachmentEncryption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של הגבלת הצפנת VLAN Attachments.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IPSEC</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IPv6 מלאה</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constraints/compute.disableAllIpv6</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יצירה ועדכון של כל משאב Compute Engine הכולל IPv6. גובר על שאר אילוצי ה־IPv6.</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אם הארגון אינו תומך IPv6 בבקרות האבטחה</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נתיב רשת שאינו מכוסה בכללי firewall ובכלי ניטור שנבנו ל־IPv4 בלבד.</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IPv6 חיצוני ב־VPC</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constraints/compute.disableVpcExternalIpv6</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יצירה ועדכון של תת־רשתות עם ipv6_access_type בערך EXTERNAL.</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חשיפת משאבים לאינטרנט דרך IPv6 ללא בקרה מקבילה.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IPv6 פנימי ב־VPC</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constraints/compute.disableVpcInternalIpv6</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יצירה ועדכון של תת־רשתות עם ipv6_access_type בערך INTERNAL.</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אם אין תמיכה ארגונית ב־IPv6</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 ברמת הרשת הפנימית.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IPv6 בחיבורים היברידיים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constraints/compute.disableHybridCloudIpv6</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יצירה ועדכון של Interconnect Attachments ושערי VPN עם stack_type הכולל IPv6, וכן BGP מעל IPv6.</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אם אין תמיכה ארגונית ב־IPv6</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נתיב היברידי שאינו מנוטר.</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הסרת lien מפרויקט Shared VPC</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constraints/compute.restrictXpnProjectLienRemoval</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מי רשאי להסיר lien מפרויקט מארח של Shared VPC — הגנה מפני מחיקת פרויקט הרשת.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מחיקה בשוגג של פרויקט המארח את רשת הליבה של הארגון.</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IAP על משאבים גלובליים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constraints/iap.requireGlobalIapWebDisabled</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הפעלת Identity-Aware Proxy על משאבים גלובליים; משאבים אזוריים אינם מושפעים.</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 IAP הוא בקרת אבטחה רצויה</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אכיפה שגויה מונעת שימוש ב־IAP כשכבת אימות.</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7.6  Google Kubernetes Engine (GKE)  (18 אילוצים)</w:t>
      </w:r>
    </w:p>
    <w:p>
      <w:pPr>
        <w:bidi/>
        <w:spacing w:after="100" w:line="260"/>
        <w:jc w:val="right"/>
      </w:pPr>
      <w:r>
        <w:rPr>
          <w:rFonts w:ascii="Arial" w:cs="Arial" w:eastAsia="Arial" w:hAnsi="Arial"/>
          <w:b w:val="false"/>
          <w:bCs w:val="false"/>
          <w:i w:val="false"/>
          <w:iCs w:val="false"/>
          <w:sz w:val="19"/>
          <w:szCs w:val="19"/>
          <w:rtl/>
        </w:rPr>
        <w:t xml:space="preserve">כל האילוצים בקבוצה זו הם מסוג Managed ונאכפים בעת יצירה או עדכון של אשכול. הם מקבילים ישירות להמלצות ההקשחה הרשמיות של GKE ולבקרות CIS Kubernetes Benchmark.</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Workload Identity Federation</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constraints/container.managed.enableWorkloadIdentityFederation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Workload Identity Federation ביצירה ובעדכון של אשכולות.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Pods צורכים את חשבון השירות של הצומת — כל Pod מקבל את הרשאות הצומת המלאות.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חשבון השירות המוגדר כברירת מחדל בצמתים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constraints/container.managed.disallowDefaultComputeServiceAccount</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שימוש בחשבון השירות של Compute Engine כחשבון השירות של האשכול או של node pool.</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node pool בעל הרשאות Editor על כל הפרויקט.</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Private Nodes</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constraints/container.managed.enablePrivateNodes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צמתים פרטיים ביצירה ובעדכון של אשכולות ו־node pools.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צמתים בעלי כתובת IP ציבורית וחשופים לסריקה.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גישה ל־Control Plane דרך DNS בלבד</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constraints/container.managed.enableControlPlaneDNSOnlyAccess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שימוש ב־DNS-based endpoint לגישה ל־control plane ומשבית endpoints מבוססי IP.</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חשיפת ה־API server לכתובות IP ציבוריות.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Shielded Nodes</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constraints/container.managed.enableShieldedNodes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שצמתי האשכול יישארו Shielded — זהות ושלמות ניתנות לאימות.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צומת שנפרץ יכול להתחזות לצומת לגיטימי מול ה־control plane.</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Binary Authorization</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constraints/container.managed.enableBinaryAuthorization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Binary Authorization ביצירה ובעדכון של אשכולות.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הרצת images לא חתומים וללא מקור מאומת — פרצת שרשרת אספקה.</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הצפנת Secrets במפתח בניהול הלקוח</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constraints/container.managed.enableSecretsEncryption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הצפנת Secrets במפתחות בניהול הלקוח (Application-layer secrets encryption).</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Secrets מאוחסנים ב־etcd ללא שכבת הצפנה נוספת בשליטת הארגון.</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Network Policy</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constraints/container.managed.enableNetworkPolicy</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אכיפת NetworkPolicy או GKE Dataplane V2.</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תקשורת חופשית בין כל ה־Pods באשכול — תנועה רוחבית ללא מגבלה.</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Google Groups ל־RBAC</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constraints/container.managed.enableGoogleGroupsRBAC</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Google Groups for RBAC ביצירה ובעדכון של אשכולות.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ניהול הרשאות Kubernetes פר־משתמש, ללא סנכרון לתהליכי הצטרפות ועזיבה.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RBAC לזהויות מערכת</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constraints/container.managed.disableRBACSystemBindings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ClusterRoleBindings ו־RoleBindings שאינם ברירת מחדל אל system:anonymous, system:authenticated ו־system:unauthenticated.</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הענקת הרשאות לכלל המשתמשים המאומתים או האנונימיים באשכול.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ABAC</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constraints/container.managed.disableABAC</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דוחה בקשות להפעלת Attribute-Based Access Control — מנגנון אימות מיושן.</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מנגנון הרשאות מקביל ל־RBAC שאינו מנוטר ואינו ניתן לביקורת.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אימות בתעודת לקוח</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constraints/container.managed.disableLegacyClientCertificateIssuance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הפעלה ידנית של אימות מבוסס תעודת לקוח.</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אישור סטטי ארוך־טווח ל־API server שאינו ניתן לביטול בקלות.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פורט kubelet לקריאה בלבד</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constraints/container.managed.disableInsecureKubeletReadOnlyPort</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השארת פורט 10255 (kubelet read-only) מושבת.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חשיפת מידע על ה־Pods והצמתים ללא אימות.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DenyServiceExternalIPs</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constraints/container.managed.denyServiceExternalIPs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שה־admission controller בשם DenyServiceExternalIPs יישאר מופעל.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יצירת Service עם externalIPs שרירותי — חטיפת תעבורה בתוך האשכול.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התראות בולטין אבטחה</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constraints/container.managed.enableSecurityBulletinNotifications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Security Bulletin Notifications ביצירה ובעדכון של אשכולות.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היעדר התראה על CVE קריטי הרלוונטי לאשכולות הארגון.</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Cloud Logging</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constraints/container.managed.enableCloudLogging</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שכל האשכולות ישתמשו לפחות בתצורת ה־Cloud Logging המוגדרת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היעדר לוגים לחקירת אירועים באשכול.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בקרת קבלה מורשית ב־Autopilot</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constraints/container.managed.autopilotPrivilegedAdmission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מפעיל בקרת קבלה מבוססת allowlist עבור עומסים מורשים ב־Autopilot. נאכף כברירת מחדל. אזהרה: הגדרת allowAnyGKEPath לערך False תגרום לכשל ביצירת ועדכון אשכולות ללא הדגל המתאים — והשפעתה על כלל האשכולות בארגון, לא רק Autopilot.</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בתצורת ברירת המחדל; לשנות רק לאחר בדיקה מבוקרת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עומסים מורשים ללא בקרה — או לחלופין השבתה גורפת של יצירת אשכולות.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נתיבי אבחון בלתי תואמים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constraints/container.restrictNoncompliantDiagnosticDataAccess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Assured Workloads — משבית נתיבי גישה לאבחון ותמיכה שאינם עומדים בדרישות. אין להגדיר ידנית.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מנוהל אוטומטית על ידי Assured Workloads</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שינוי ידני עלול לשבור את מעטפת התאימות.</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7.7  Cloud Storage  (7 אילוצים)</w:t>
      </w:r>
    </w:p>
    <w:p>
      <w:pPr>
        <w:bidi/>
        <w:spacing w:after="100" w:line="260"/>
        <w:jc w:val="right"/>
      </w:pPr>
      <w:r>
        <w:rPr>
          <w:rFonts w:ascii="Arial" w:cs="Arial" w:eastAsia="Arial" w:hAnsi="Arial"/>
          <w:b w:val="false"/>
          <w:bCs w:val="false"/>
          <w:i w:val="false"/>
          <w:iCs w:val="false"/>
          <w:sz w:val="19"/>
          <w:szCs w:val="19"/>
          <w:rtl/>
        </w:rPr>
        <w:t xml:space="preserve">Cloud Storage הוא היעד הנפוץ ביותר לדליפות נתונים בענן. שלושת האילוצים הראשונים בטבלה זו הם חובה בכל ארגון.</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מניעת גישה ציבורית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constraints/storage.publicAccessPrevention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גישה ציבורית לכל ה־buckets והאובייקטים תחת המשאב — קיימים וחדשים כאחד. תחולה תוך כ־10 דקות.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ברמת הארגון</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bucket ציבורי המכיל נתוני לקוחות — תרחיש הדליפה הקלאסי.</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גישה אחידה ברמת Bucket</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constraints/storage.uniformBucketLevelAccess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שימוש ב־ACL ברמת אובייקט ומחייב ניהול הרשאות דרך IAM בלבד. חלק מ־Security Baseline של Google.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ברמת הארגון</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הרשאות ברמת אובייקט שאינן נראות בביקורת IAM — נקודה עיוורת מוחלטת.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סוגי אימות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constraints/storage.restrictAuthTypes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סוגי אימות מותרים מול Cloud Storage (למשל חסימת מפתחות HMAC ואימות בסגנון AWS S3).</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HMAC keys אלא אם קיים צורך מתועד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מפתחות HMAC ארוכי־טווח מחוץ למחזור החיים של IAM.</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משך מדיניות שימור</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constraints/storage.retentionPolicySeconds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משכי מדיניות השימור המותרים ב־buckets. אינו רטרואקטיבי.</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המשכים התואמים למדיניות שימור הרשומות</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מחיקת נתונים לפני תום תקופת השימור הרגולטורית.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משך מדיניות שימור (managed)</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constraints/storage.managed.retentionPolicySeconds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של הגבלת משכי מדיניות השימור.</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לפי מדיניות שימור הרשומות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משך מדיניות מחיקה רכה</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constraints/storage.softDeletePolicySeconds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משכי ה־soft delete המותרים ב־buckets. מגן מפני מחיקה זדונית או בשוגג.</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604800 שניות (7 ימים) ומעלה</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מחיקה סופית של נתונים ללא חלון שחזור — הרס במתקפת כופר.</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משך מחיקה רכה (managed)</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constraints/storage.managed.softDeletePolicySeconds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של הגבלת משכי ה־soft delete.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7 ימים ומעלה</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7.8  Cloud SQL  (6 אילוצים)</w:t>
      </w:r>
    </w:p>
    <w:p>
      <w:pPr>
        <w:bidi/>
        <w:spacing w:after="100" w:line="260"/>
        <w:jc w:val="right"/>
      </w:pPr>
      <w:r>
        <w:rPr>
          <w:rFonts w:ascii="Arial" w:cs="Arial" w:eastAsia="Arial" w:hAnsi="Arial"/>
          <w:b w:val="false"/>
          <w:bCs w:val="false"/>
          <w:i w:val="false"/>
          <w:iCs w:val="false"/>
          <w:sz w:val="19"/>
          <w:szCs w:val="19"/>
          <w:rtl/>
        </w:rPr>
        <w:t xml:space="preserve">אילוצי Cloud SQL אינם רטרואקטיביים — מופעים קיימים עם IP ציבורי או Authorized Networks ימשיכו לפעול גם לאחר האכיפה. נדרש תהליך תיקון נפרד למופעים קיימים.</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IP ציבורי</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constraints/sql.restrictPublicIp</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הגדרת כתובת IP ציבורית במופעי Cloud SQL. אינו רטרואקטיבי.</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ברמת הארגון</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מסד נתונים חשוף ישירות לאינטרנט — יעד לניחוש סיסמאות ולניצול חולשות.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IP ציבורי (managed)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constraints/sql.managed.restrictPublicIp</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של חסימת IP ציבורי במופעי Cloud SQL.</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Authorized Networks</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constraints/sql.restrictAuthorizedNetworks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הוספת Authorized Networks לגישה ישירה למסד ללא proxy. אינו רטרואקטיבי.</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 לחייב שימוש ב־Cloud SQL Auth Proxy או Private Service Connect</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רשימות היתר רחבות (לעיתים 0.0.0.0/0) העוקפות את בקרות הרשת.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Authorized Networks (managed)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constraints/sql.managed.restrictAuthorizedNetworks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המנוהלת של הגבלת Authorized Networks.</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נתיבי אבחון בלתי תואמים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constraints/sql.restrictNoncompliantDiagnosticDataAccess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Assured Workloads — משבית נתיבי גישה לאבחון ותמיכה שאינם עומדים בדרישות ריבונות. אין להגדיר ידנית.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מנוהל אוטומטית על ידי Assured Workloads</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שינוי ידני עלול לשבור את מעטפת התאימות.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יצירת משאבים בלתי תואמים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constraints/sql.restrictNoncompliantResourceCreation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Assured Workloads — מחייב יצירת משאבים בהתאם לדרישות ריבונות מתקדמות. חל על פרויקטים קיימים אך לא על משאבים שכבר הוקצו.</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מנוהל אוטומטית על ידי Assured Workloads</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שינוי ידני עלול לשבור את מעטפת התאימות.</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7.9  BigQuery, Spanner, Firestore ו־Pub/Sub  (7 אילוצים)</w:t>
      </w:r>
    </w:p>
    <w:p>
      <w:pPr>
        <w:bidi/>
        <w:spacing w:after="100" w:line="260"/>
        <w:jc w:val="right"/>
      </w:pPr>
      <w:r>
        <w:rPr>
          <w:rFonts w:ascii="Arial" w:cs="Arial" w:eastAsia="Arial" w:hAnsi="Arial"/>
          <w:b w:val="false"/>
          <w:bCs w:val="false"/>
          <w:i w:val="false"/>
          <w:iCs w:val="false"/>
          <w:sz w:val="19"/>
          <w:szCs w:val="19"/>
          <w:rtl/>
        </w:rPr>
        <w:t xml:space="preserve">אילוצי שכבת הנתונים והמסרים. שים לב שאילוצי ה־Assured Workloads בקבוצה זו מנוהלים אוטומטית ואין להגדירם ידנית.</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BigQuery Omni מול AWS</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constraints/bigquery.disableBQOmniAWS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שימוש ב־BigQuery Omni לעיבוד נתונים המאוחסנים ב־Amazon Web Services.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אם אין תרחיש multi-cloud מאושר</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עיבוד נתונים בענן זר ללא הערכת סיכונים והסכם עיבוד נתונים.</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BigQuery Omni מול Azure</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constraints/bigquery.disableBQOmniAzure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שימוש ב־BigQuery Omni לעיבוד נתונים המאוחסנים ב־Microsoft Azure.</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אם אין תרחיש multi-cloud מאושר</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מהדורות Spanner</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constraints/spanner.managed.restrictCloudSpannerEditions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אילו מהדורות Spanner ניתן להשתמש בהן: STANDARD, ENTERPRISE, ENTERPRISE_PLUS.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deny למהדורות שאינן מאושרות תקציבית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צריכת מהדורה יקרה או כזו שאינה כוללת את בקרות האבטחה הנדרשות.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API תואם MongoDB ב־Firestore</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constraints/firestore.managed.disableMongodbCompatibleDataAccessMode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יצירת מסדי Firestore עם ה־API התואם MongoDB, או עדכון מסד קיים להפעלתו.</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אם אין צורך עסקי מתועד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נתיב גישה נוסף למסד הנתונים שאינו מכוסה בבקרות הקיימות.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SMT במנויי Pub/Sub</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constraints/pubsub.managed.disableSubscriptionMessageTransforms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Assured Workloads — מונע הגדרת Single Message Transforms במנויים. אין להגדיר ידנית.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מנוהל אוטומטית על ידי Assured Workloads</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שינוי ידני עלול לשבור את מעטפת התאימות.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SMT בנושאי Pub/Sub</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constraints/pubsub.managed.disableTopicMessageTransforms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אילוץ Assured Workloads — מונע הגדרת Single Message Transforms בנושאים. אין להגדיר ידנית.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מנוהל אוטומטית על ידי Assured Workloads</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שינוי ידני עלול לשבור את מעטפת התאימות.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אשכולות Kafka Connect</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constraints/managedkafka.managed.disableKafkaConnectClusterCreateAndUpdate</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יצירה ועדכון של אשכולות Kafka Connect בשירות המנוהל של Apache Kafka.</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אם אין שימוש מאושר ב־Kafka Connect</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מחברי Kafka Connect המזרימים נתונים ליעדים חיצוניים.</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7.10  Cloud KMS  (3 אילוצים)</w:t>
      </w:r>
    </w:p>
    <w:p>
      <w:pPr>
        <w:bidi/>
        <w:spacing w:after="100" w:line="260"/>
        <w:jc w:val="right"/>
      </w:pPr>
      <w:r>
        <w:rPr>
          <w:rFonts w:ascii="Arial" w:cs="Arial" w:eastAsia="Arial" w:hAnsi="Arial"/>
          <w:b w:val="false"/>
          <w:bCs w:val="false"/>
          <w:i w:val="false"/>
          <w:iCs w:val="false"/>
          <w:sz w:val="19"/>
          <w:szCs w:val="19"/>
          <w:rtl/>
        </w:rPr>
        <w:t xml:space="preserve">בקרות על מחזור החיים של מפתחות ההצפנה — רמת ההגנה, מניעת השמדה מוקדמת ומשך ההשמדה המתוזמן.</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רמות הגנה למפתחות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constraints/cloudkms.allowedProtectionLevels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סוגי מפתחות ניתן ליצור: SOFTWARE, HSM, HSM_SINGLE_TENANT, EXTERNAL, EXTERNAL_VPC. משפיע גם על import jobs ועל גרסאות מפתח. רשימות חסימה אינן נתמכות.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HSM (ו־EXTERNAL רק בתרחישי EKM מאושרים)</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מפתחות המגנים על נתונים רגישים המאוחסנים ברמת הגנה תוכנתית בלבד.</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השבתה לפני השמדה</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constraints/cloudkms.disableBeforeDestroy</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מתיר השמדת גרסת מפתח רק אם היא במצב disabled. חל גם על גרסאות קיימות.</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השמדת מפתח פעיל בטעות או בזדון — אובדן בלתי הפיך של כל הנתונים המוצפנים בו.</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משך השמדה מתוזמן מינימלי</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constraints/cloudkms.minimumDestroyScheduledDuration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משך ההשמדה המתוזמן המינימלי במפתחות חדשים. ערך יחיד בפורמט in:1d עד in:120d. במיזוג עם מדיניות אב נבחר הערך הנמוך מביניהם.</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in:30d</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חלון שחזור קצר מדי במקרה של השמדת מפתח בשוגג.</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7.11  Cloud Run ו־Cloud Run functions  (8 אילוצים)</w:t>
      </w:r>
    </w:p>
    <w:p>
      <w:pPr>
        <w:bidi/>
        <w:spacing w:after="100" w:line="260"/>
        <w:jc w:val="right"/>
      </w:pPr>
      <w:r>
        <w:rPr>
          <w:rFonts w:ascii="Arial" w:cs="Arial" w:eastAsia="Arial" w:hAnsi="Arial"/>
          <w:b w:val="false"/>
          <w:bCs w:val="false"/>
          <w:i w:val="false"/>
          <w:iCs w:val="false"/>
          <w:sz w:val="19"/>
          <w:szCs w:val="19"/>
          <w:rtl/>
        </w:rPr>
        <w:t xml:space="preserve">בקרות על עומסים ללא שרת: אימות קורא, מקור הקוד ותצורת הרשת של הפונקציות.</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בדיקת IAM לקורא</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constraints/run.managed.requireInvokerIam</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הפעלת בדיקת ה־IAM invoker בשירותי Cloud Run ומונע הגדרת invoker_iam_disabled לערך True. תוצאה דומה ניתן להשיג גם בהענקת run.routes.invoke ל־allUsers — יש לחסום גם אותה.</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ברמת הארגון</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שירות Cloud Run פתוח לאינטרנט ללא כל אימות.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קוד מוטמע בפריסה</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constraints/run.managed.disableInlinedSource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פריסת שירותי Cloud Run באמצעות קוד מקור מוטמע (inlined source) דרך ה־API.</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פריסת קוד שלא עבר בקרת גרסאות, סריקה או תהליך CI/CD.</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הגדרות ingress מותרות</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constraints/run.allowedIngress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הגדרות ה־ingress המותרות לשירותי Cloud Run ולפונקציות מדור 2.</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internal / internal-and-cloud-load-balancing</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נקודת קצה ללא שרת החשופה ישירות לאינטרנט הפתוח.</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הגדרות egress מותרות ל־VPC</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constraints/run.allowedVPCEgress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הגדרות היציאה המותרות ל־VPC עבור Cloud Run ופונקציות מדור 2.</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all-traffic — לניתוב כל היציאה דרך ה־VPC והבקרות שבו</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יציאה ישירה לאינטרנט העוקפת firewall, NAT ובקרות DLP.</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הגדרות ingress מותרות (פונקציות דור 1)</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constraints/cloudfunctions.allowedIngressSettings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הגדרות ה־ingress המותרות בפריסת Cloud Function מדור 1. הערך INGRESS_SETTINGS_UNSPECIFIED אינו שמיש ויש להחליפו.</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ALLOW_INTERNAL_ONLY</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 בדור הראשון של הפונקציות.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הגדרות egress מותרות ל־VPC Connector</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constraints/cloudfunctions.allowedVpcConnectorEgressSettings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הגדרות היציאה המותרות דרך VPC Connector בפונקציות מדור 1. הערך UNSPECIFIED אינו נתמך ויגרום לשגיאה.</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ALL_TRAFFIC</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יציאה ישירה לאינטרנט העוקפת את בקרות הרשת.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VPC Connector</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constraints/cloudfunctions.requireVPCConnector</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הגדרת VPC Connector בעת פריסת Cloud Function מדור 1.</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פונקציה ללא חיבור ל־VPC — תעבורה שאינה עוברת דרך בקרות הרשת.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דורות מותרים של פונקציות</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constraints/cloudfunctions.restrictAllowedGenerations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דורות של Cloud Functions ניתן ליצור: 1stGen, 2ndGen.</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2ndGen</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המשך פריסה על גבי הדור הראשון, שמנגנוני האבטחה בו מצומצמים יותר.</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7.12  CI/CD, נתונים ואוטומציה  (10 אילוצים)</w:t>
      </w:r>
    </w:p>
    <w:p>
      <w:pPr>
        <w:bidi/>
        <w:spacing w:after="100" w:line="260"/>
        <w:jc w:val="right"/>
      </w:pPr>
      <w:r>
        <w:rPr>
          <w:rFonts w:ascii="Arial" w:cs="Arial" w:eastAsia="Arial" w:hAnsi="Arial"/>
          <w:b w:val="false"/>
          <w:bCs w:val="false"/>
          <w:i w:val="false"/>
          <w:iCs w:val="false"/>
          <w:sz w:val="19"/>
          <w:szCs w:val="19"/>
          <w:rtl/>
        </w:rPr>
        <w:t xml:space="preserve">Cloud Build, Cloud Deploy, Dataflow, Dataform, Datastream ו־Cloud Scheduler — נקודות תורפה מרכזיות בשרשרת האספקה.</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אינטגרציות מותרות ב־Cloud Build</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constraints/cloudbuild.allowedIntegrations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שירותים חיצוניים רשאים להפעיל builds באמצעות webhooks. ללא אכיפה, Cloud Build מעבד כל webhook בפרויקט שיש בו טריגר פעיל.</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ספקי ה־SCM המאושרים בלבד (למשל github.com)</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הפעלת build על ידי גורם חיצוני — הרצת קוד בזהות חשבון השירות של ה־build.</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יצירת חשבון שירות ברירת מחדל ב־Build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constraints/cloudbuild.disableCreateDefaultServiceAccount</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יצירת חשבון השירות הישן של Cloud Build. נאכף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חשבון שירות בעל הרשאות רחבות המשמש את כל תהליכי ה־build.</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שימוש בחשבון השירות של Build</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constraints/cloudbuild.useBuildServiceAccount</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מתיר שימוש בחשבון השירות הישן של Cloud Build כברירת מחדל. נאכף כברירת מחדל.</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 לחייב חשבון שירות ייעודי לכל pipeline</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כל תהליכי ה־build חולקים זהות אחת בעלת הרשאות מצטברות.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שימוש בחשבון השירות של Compute ב־Build</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constraints/cloudbuild.useComputeServiceAccount</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מתיר שימוש בחשבון השירות של Compute Engine כברירת מחדל ב־builds. נאכף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 לחייב חשבון שירות ייעודי</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תהליך build המקבל את הרשאות ה־Editor של חשבון ה־Compute.</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תוויות שירות ב־Cloud Deploy</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constraints/clouddeploy.disableServiceLabelGeneration</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מ־Cloud Deploy להוסיף תוויות זיהוי לאובייקטים הנפרסים.</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לא נאכף — התוויות מסייעות למעקב ולביקורת</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אכיפה שגויה פוגעת ביכולת לעקוב אחר מקור הפריסה.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IP ציבורי ב־Dataflow</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constraints/dataflow.managed.disableUsePublicIps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שימוש בכתובות IP ציבוריות במכונות ה־worker של Dataflow.</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מכונות עיבוד נתונים החשופות ישירות לאינטרנט.</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מפתחות SSH ב־Dataflow</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constraints/dataflow.managed.blockProjectSshKeys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גישת מפתחות SSH ברמת פרויקט אל מכונות ה־worker של Dataflow.</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גישה אינטראקטיבית למכונות המעבדות נתונים רגישים בזמן אמת.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remotes ב־Dataform</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constraints/dataform.restrictGitRemotes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לאילו remotes של Git מאגרי Dataform רשאים להתחבר. אילוץ רטרואקטיבי — חוסם גם מאגרים קיימים.</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כתובות ה־SCM הארגוניות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סנכרון קוד טרנספורמציה אל מאגר חיצוני — חילוץ לוגיקה עסקית ונתונים.</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קישוריות ציבורית ב־Datastream</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constraints/datastream.disablePublicConnectivity</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שימוש בשיטות קישוריות פרטיות בלבד (למשל VPC peering) ביצירת connection profiles.</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זרם שכפול נתונים העובר דרך האינטרנט הציבורי.</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יעדים מותרים ל־Cloud Scheduler</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constraints/cloudscheduler.allowedTargetTypes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סוגי יעדים מותרים למשימות Cloud Scheduler: APPENGINE, HTTP, PUBSUB.</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PUBSUB (ו־HTTP רק ליעדים פנימיים)</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משימה מתוזמנת הפונה ל־endpoint חיצוני שרירותי — ערוץ שליטה ופיקוד.</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7.13  Vertex AI, Workbench ו־Gemini Enterprise  (18 אילוצים)</w:t>
      </w:r>
    </w:p>
    <w:p>
      <w:pPr>
        <w:bidi/>
        <w:spacing w:after="100" w:line="260"/>
        <w:jc w:val="right"/>
      </w:pPr>
      <w:r>
        <w:rPr>
          <w:rFonts w:ascii="Arial" w:cs="Arial" w:eastAsia="Arial" w:hAnsi="Arial"/>
          <w:b w:val="false"/>
          <w:bCs w:val="false"/>
          <w:i w:val="false"/>
          <w:iCs w:val="false"/>
          <w:sz w:val="19"/>
          <w:szCs w:val="19"/>
          <w:rtl/>
        </w:rPr>
        <w:t xml:space="preserve">בקרות על סביבות פיתוח מודלים ועל צריכת מודלים גנרטיביים. קבוצה זו קריטית במיוחד לאור סיכוני דליפת נתונים דרך prompts ו־grounding.</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מודלים מותרים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constraints/vertexai.allowedModels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מודלים ותכונות מותר לצרוך ב־APIs של Vertex AI, כולל מודלים של Google, של צד שלישי וקוד פתוח. פורמט: model_id:feature_family.</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allow-list של המודלים שעברו הערכת סיכונים</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צריכת מודל שלא נבחן מבחינת אבטחה, פרטיות ורישוי.</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מודלים גנרטיביים של Google</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constraints/vertexai.allowedGenAIModels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מודלים גנרטיביים קנייניים של Google מותרים. אינו משפיע על מודלים של צד שלישי או קוד פתוח.</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allow-list של המודלים המאושרים</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 ברמת המודלים של Google.</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תכונות מתקדמות של מודלי שותפים</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constraints/vertexai.allowedPartnerModelFeatures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תכונות מתקדמות של מודלי שותפים מנוהלים מותרות. כברירת מחדל כל התכונות המתקדמות חסומות.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בברירת המחדל; להתיר נקודתית לפי צורך</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הפעלת תכונות כגון חיפוש רשת מתוך המודל — נתיב יציאה בלתי מבוקר.</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Grounding מול Google Search</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constraints/vertexai.disableGenAIGoogleSearchGrounding</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משבית את תכונת ה־Grounding מול Google Search ב־APIs הגנרטיביים. התכונה מופעלת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המעבדות נתונים סודיים</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שליחת תוכן ה־prompt אל מנוע חיפוש חיצוני.</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בקרת מקורות Grounding</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constraints/vertexai.genAIGroundingSources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מקורות grounding מותרים: GoogleMaps, VertexAiSearch, VertexRagStore, EnterpriseWebSearch, ExternalApiSimpleSearch, ExternalApiElasticSearch, UrlContext, ParallelAiSearch.</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VertexAiSearch, VertexRagStore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העשרת התשובה ממקורות חיצוניים ושליחת הקשר ארגוני החוצה.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APIs תואמי IL5 בלבד</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constraints/vertexai.allowOnlyIL5CompliantAPIs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מתיר שימוש רק ב־APIs של Vertex AI העומדים בדרישות IL5.</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ביטחוניות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שימוש ב־API שאינו מאושר לרמת הסיווג הנדרשת.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APIs תואמי ITAR בלבד</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constraints/vertexai.allowOnlyITARCompliantAPIs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מתיר שימוש רק ב־APIs של Vertex AI העומדים בדרישות ITAR.</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הכפופות ל־ITAR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הפרת בקרות ייצוא טכנולוגיה.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מצב גישה ל־Workbench</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constraints/ainotebooks.accessMode</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את מצבי הגישה המותרים למחברות ולמופעי Vertex AI Workbench: service-account (ריבוי משתמשים) או single-user.</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single-user</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מחברת משותפת הפועלת בזהות חשבון שירות — אין ייחוס פעולות למשתמש.</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גישת root ב־Workbench</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constraints/ainotebooks.disableRootAccess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יצירת מחברות ומופעים בניהול המשתמש עם גישת root.</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הרצת קוד בהרשאות מלאות על המכונה ועקיפת בקרות מקומיות.</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טרמינל ב־Workbench</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constraints/ainotebooks.disableTerminal</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יצירת מופעי Workbench עם טרמינל מופעל.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המעבדות נתונים רגישים</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גישת מעטפת מלאה מתוך ממשק המחברת.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הורדת קבצים ב־Workbench</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constraints/ainotebooks.disableFileDownloads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מונע יצירת מופעי Workbench עם אפשרות הורדת קבצים מופעלת.</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 בסביבות המעבדות נתונים רגישים</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הורדת מערכי נתונים רגישים לתחנת הקצה של המשתמש.</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IP ציבורי ב־Workbench</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constraints/ainotebooks.restrictPublicIp</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גישת IP ציבורי למחברות ולמופעי Workbench חדשים.</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סביבת פיתוח מודלים החשופה ישירות לאינטרנט.</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רשתות VPC ב־Workbench</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constraints/ainotebooks.restrictVpcNetworks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באילו רשתות VPC ניתן ליצור מופעי Workbench.</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under:folders/DATA_SCIENCE_FOLDER</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הצבת סביבת מחקר ברשת שאינה מפולחת מסביבת הייצור.</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סביבות ותמונות ב־Workbench</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constraints/ainotebooks.environmentOptions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תמונות VM ותמונות קונטיינר ניתן לבחור ביצירת מחברות בניהול המשתמש.</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התמונות המוקשחות והמאושרות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הרצת סביבת מחקר מתמונה שאינה מתוחזקת ואינה מעודכנת.</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חיוב שדרוגים מתוזמנים ב־Workbench</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constraints/ainotebooks.requireAutoUpgradeSchedule</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מחייב הגדרת לוח זמנים לשדרוג אוטומטי במחברות ובמופעים חדשים באמצעות מפתח ה־metadata notebook-upgrade-schedule.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מופעי מחקר ארוכי־חיים ללא עדכוני אבטחה.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מקורות נתונים מותרים למחברים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constraints/discoveryengine.managed.allowedDataSources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מקורות נתונים מותרים למחברי Gemini Enterprise. נאכף כברירת מחדל בפרויקטים עם VPC-SC.</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allow-list של המערכות הארגוניות המאושרות</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חיבור מנוע החיפוש הארגוני למקור נתונים לא מאושר.</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דומיינים מותרים ליציאה</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constraints/discoveryengine.managed.allowedEgressFqdns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FQDNs מותרים ליציאה עבור מחברי נתונים. נאכף כברירת מחדל בפרויקטים עם VPC-SC.</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allow-list מצומצם של דומיינים מאושרים</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יציאת נתונים אל יעד חיצוני דרך מחבר.</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מחבר MCP מותאם</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constraints/discoveryengine.managed.disableCustomMcpServerConnector</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Boolean</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מגביל יצירת מחברי נתונים המשתמשים בשרת MCP מותאם אישית כמקור. נאכף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חיבור שרת MCP חיצוני בלתי מאומת אל מאגר הידע הארגוני.</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3"/>
        <w:bidi/>
        <w:spacing w:after="100" w:before="260"/>
        <w:jc w:val="right"/>
      </w:pPr>
      <w:r>
        <w:rPr>
          <w:rFonts w:ascii="Arial" w:cs="Arial" w:eastAsia="Arial" w:hAnsi="Arial"/>
          <w:b/>
          <w:bCs/>
          <w:i w:val="false"/>
          <w:iCs w:val="false"/>
          <w:color w:val="2E5C8A"/>
          <w:sz w:val="23"/>
          <w:szCs w:val="23"/>
          <w:rtl/>
        </w:rPr>
        <w:t xml:space="preserve">7.14  App Engine, Marketplace ו־Essential Contacts  (6 אילוצים)</w:t>
      </w:r>
    </w:p>
    <w:p>
      <w:pPr>
        <w:bidi/>
        <w:spacing w:after="100" w:line="260"/>
        <w:jc w:val="right"/>
      </w:pPr>
      <w:r>
        <w:rPr>
          <w:rFonts w:ascii="Arial" w:cs="Arial" w:eastAsia="Arial" w:hAnsi="Arial"/>
          <w:b w:val="false"/>
          <w:bCs w:val="false"/>
          <w:i w:val="false"/>
          <w:iCs w:val="false"/>
          <w:sz w:val="19"/>
          <w:szCs w:val="19"/>
          <w:rtl/>
        </w:rPr>
        <w:t xml:space="preserve">בקרות משלימות ברמת הארגון — רכש, אנשי קשר לאירועי אבטחה וסביבות ריצה מיושנות.</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700"/>
        <w:gridCol w:w="950"/>
        <w:gridCol w:w="3750"/>
        <w:gridCol w:w="2300"/>
        <w:gridCol w:w="2408"/>
      </w:tblGrid>
      <w:tr>
        <w:trPr>
          <w:tblHeader/>
        </w:trPr>
        <w:tc>
          <w:tcPr>
            <w:tcW w:type="dxa" w:w="18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שם המדיניות</w:t>
            </w:r>
          </w:p>
        </w:tc>
        <w:tc>
          <w:tcPr>
            <w:tcW w:type="dxa" w:w="27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מזהה האילוץ</w:t>
            </w:r>
          </w:p>
        </w:tc>
        <w:tc>
          <w:tcPr>
            <w:tcW w:type="dxa" w:w="9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סוג</w:t>
            </w:r>
          </w:p>
        </w:tc>
        <w:tc>
          <w:tcPr>
            <w:tcW w:type="dxa" w:w="37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תיאור</w:t>
            </w:r>
          </w:p>
        </w:tc>
        <w:tc>
          <w:tcPr>
            <w:tcW w:type="dxa" w:w="23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ערך מומלץ / בייסליין</w:t>
            </w:r>
          </w:p>
        </w:tc>
        <w:tc>
          <w:tcPr>
            <w:tcW w:type="dxa" w:w="240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סיכון אם לא נאכף</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הורדת קוד מקור</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constraints/appengine.disableCodeDownload</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חוסם הורדה של קוד מקור שהועלה בעבר ל־App Engine.</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נאכף</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חילוץ קוד המקור של האפליקציה, כולל סודות שהוטמעו בו.</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חריגה לסביבות ריצה מיושנות</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constraints/appengine.runtimeDeploymentExemption</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סביבות ריצה מיושנות של App Engine Standard (Python 2.7, PHP 5.5, Java 8) מותרות בפריסה לאחר תום התמיכה. נאכף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להשאיר באכיפה ללא חריגים</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פריסה על סביבת ריצה שאינה מקבלת עדכוני אבטחה.</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דומיינים מותרים לאנשי קשר</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constraints/essentialcontacts.managed.allowedContactDomains</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Managed / List</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דומיינים מותרים בכתובות הדוא"ל של Essential Contacts. חלק מ־Security Baseline של Google. אינו משפיע על עדכון או הסרה של אנשי קשר קיימים.</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@הדומיין-הארגוני בלבד</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גורם חיצוני מקבל התראות אבטחה, חשבוניות והודעות פלטפורמה.</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דומיינים מותרים לאנשי קשר (legacy)</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constraints/essentialcontacts.allowedContactDomains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הגרסה הישנה של הגבלת דומיינים ב־Essential Contacts.</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allow: הדומיין הארגוני בלבד</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זהה לאמור לעיל.</w:t>
            </w:r>
          </w:p>
        </w:tc>
      </w:tr>
      <w:tr>
        <w:tc>
          <w:tcPr>
            <w:tcW w:type="dxa" w:w="18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חסימת Marketplace ציבורי</w:t>
            </w:r>
          </w:p>
        </w:tc>
        <w:tc>
          <w:tcPr>
            <w:tcW w:type="dxa" w:w="27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constraints/commerceorggovernance.disablePublicMarketplace</w:t>
            </w:r>
          </w:p>
        </w:tc>
        <w:tc>
          <w:tcPr>
            <w:tcW w:type="dxa" w:w="9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Boolean</w:t>
            </w:r>
          </w:p>
        </w:tc>
        <w:tc>
          <w:tcPr>
            <w:tcW w:type="dxa" w:w="37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מכבה את Google Cloud Marketplace הציבורי לכלל המשתמשים בארגון. פועל רק כאשר Private Marketplace מופעל. Google ממליצה להעדיף את מנגנון הגבלת גישת המשתמשים על פני אילוץ זה.</w:t>
            </w:r>
          </w:p>
        </w:tc>
        <w:tc>
          <w:tcPr>
            <w:tcW w:type="dxa" w:w="23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להעדיף את בקרת גישת המשתמשים ב־Marketplace</w:t>
            </w:r>
          </w:p>
        </w:tc>
        <w:tc>
          <w:tcPr>
            <w:tcW w:type="dxa" w:w="240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התקנת פתרונות צד־שלישי שלא עברו הערכת סיכונים.</w:t>
            </w:r>
          </w:p>
        </w:tc>
      </w:tr>
      <w:tr>
        <w:tc>
          <w:tcPr>
            <w:tcW w:type="dxa" w:w="18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הגבלת שירותי Marketplace</w:t>
            </w:r>
          </w:p>
        </w:tc>
        <w:tc>
          <w:tcPr>
            <w:tcW w:type="dxa" w:w="27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constraints/commerceorggovernance.marketplaceServices</w:t>
            </w:r>
          </w:p>
        </w:tc>
        <w:tc>
          <w:tcPr>
            <w:tcW w:type="dxa" w:w="9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List</w:t>
            </w:r>
          </w:p>
        </w:tc>
        <w:tc>
          <w:tcPr>
            <w:tcW w:type="dxa" w:w="37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מגדיר אילו שירותי Marketplace מותרים: PRIVATE_MARKETPLACE (אינו נתמך עוד) ו־IAAS_PROCUREMENT. נאכף כברירת מחדל.</w:t>
            </w:r>
          </w:p>
        </w:tc>
        <w:tc>
          <w:tcPr>
            <w:tcW w:type="dxa" w:w="23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להתיר IAAS_PROCUREMENT רק לאחר הגדרת תהליך רכש</w:t>
            </w:r>
          </w:p>
        </w:tc>
        <w:tc>
          <w:tcPr>
            <w:tcW w:type="dxa" w:w="240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רכש IaaS ללא בקרת ממשל ותקציב.</w:t>
            </w:r>
          </w:p>
        </w:tc>
      </w:tr>
    </w:tbl>
    <w:p>
      <w:pPr>
        <w:bidi/>
        <w:spacing w:after="40" w:line="260"/>
        <w:jc w:val="right"/>
      </w:pPr>
      <w:r>
        <w:rPr>
          <w:rFonts w:ascii="Arial" w:cs="Arial" w:eastAsia="Arial" w:hAnsi="Arial"/>
          <w:b w:val="false"/>
          <w:bCs w:val="false"/>
          <w:i w:val="false"/>
          <w:iCs w:val="false"/>
          <w:sz w:val="20"/>
          <w:szCs w:val="20"/>
          <w:rtl/>
        </w:rPr>
        <w:t xml:space="preserve"/>
      </w:r>
    </w:p>
    <w:p>
      <w:pPr>
        <w:pStyle w:val="Heading2"/>
        <w:bidi/>
        <w:spacing w:after="140" w:before="320"/>
        <w:jc w:val="right"/>
      </w:pPr>
      <w:r>
        <w:rPr>
          <w:rFonts w:ascii="Arial" w:cs="Arial" w:eastAsia="Arial" w:hAnsi="Arial"/>
          <w:b/>
          <w:bCs/>
          <w:i w:val="false"/>
          <w:iCs w:val="false"/>
          <w:color w:val="1F3864"/>
          <w:sz w:val="26"/>
          <w:szCs w:val="26"/>
          <w:rtl/>
        </w:rPr>
        <w:t xml:space="preserve">8. מיפוי רגולטורי</w:t>
      </w:r>
    </w:p>
    <w:p>
      <w:pPr>
        <w:bidi/>
        <w:spacing w:after="120" w:line="260"/>
        <w:jc w:val="right"/>
      </w:pPr>
      <w:r>
        <w:rPr>
          <w:rFonts w:ascii="Arial" w:cs="Arial" w:eastAsia="Arial" w:hAnsi="Arial"/>
          <w:b w:val="false"/>
          <w:bCs w:val="false"/>
          <w:i w:val="false"/>
          <w:iCs w:val="false"/>
          <w:sz w:val="20"/>
          <w:szCs w:val="20"/>
          <w:rtl/>
        </w:rPr>
        <w:t xml:space="preserve">המיפוי נועד לשמש כראיה מסודרת מול מבקר ורגולטור: לכל תחום בקרה מוצגים האילוצים המיישמים אותו והבקרות המקבילות בתקנים המרכזיים. המיפוי הוא ברמת תחום ולא ברמת בקרה בודדת — אילוץ יחיד תומך בדרך כלל בכמה בקרות במקביל.</w:t>
      </w:r>
    </w:p>
    <w:tbl>
      <w:tblPr>
        <w:bidiVisual/>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000"/>
        <w:gridCol w:w="3100"/>
        <w:gridCol w:w="1550"/>
        <w:gridCol w:w="1550"/>
        <w:gridCol w:w="1858"/>
      </w:tblGrid>
      <w:tr>
        <w:trPr>
          <w:tblHeader/>
        </w:trPr>
        <w:tc>
          <w:tcPr>
            <w:tcW w:type="dxa" w:w="19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תחום בקרה</w:t>
            </w:r>
          </w:p>
        </w:tc>
        <w:tc>
          <w:tcPr>
            <w:tcW w:type="dxa" w:w="40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אילוצים מרכזיים</w:t>
            </w:r>
          </w:p>
        </w:tc>
        <w:tc>
          <w:tcPr>
            <w:tcW w:type="dxa" w:w="310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CIS GCP Foundations</w:t>
            </w:r>
          </w:p>
        </w:tc>
        <w:tc>
          <w:tcPr>
            <w:tcW w:type="dxa" w:w="15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ISO/IEC 27001:2022</w:t>
            </w:r>
          </w:p>
        </w:tc>
        <w:tc>
          <w:tcPr>
            <w:tcW w:type="dxa" w:w="1550"/>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NIST SP 800-53 r5</w:t>
            </w:r>
          </w:p>
        </w:tc>
        <w:tc>
          <w:tcPr>
            <w:tcW w:type="dxa" w:w="1858"/>
            <w:tcBorders>
              <w:top w:val="single" w:color="B4C0D0" w:sz="3"/>
              <w:left w:val="single" w:color="B4C0D0" w:sz="3"/>
              <w:bottom w:val="single" w:color="B4C0D0" w:sz="3"/>
              <w:right w:val="single" w:color="B4C0D0" w:sz="3"/>
            </w:tcBorders>
            <w:shd w:fill="1F386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8"/>
                <w:szCs w:val="18"/>
                <w:rtl/>
              </w:rPr>
              <w:t xml:space="preserve">תקנות הגנת הפרטיות</w:t>
            </w:r>
          </w:p>
        </w:tc>
      </w:tr>
      <w:tr>
        <w:tc>
          <w:tcPr>
            <w:tcW w:type="dxa" w:w="1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ניהול זהויות והרשאות</w:t>
            </w:r>
          </w:p>
        </w:tc>
        <w:tc>
          <w:tcPr>
            <w:tcW w:type="dxa" w:w="40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iam.allowedPolicyMemberDomains, iam.managed.allowedPolicyMembers, iam.managed.preventPrivilegedBasicRolesForDefaultServiceAccounts, iam.automaticIamGrantsForDefaultServiceAccounts</w:t>
            </w:r>
          </w:p>
        </w:tc>
        <w:tc>
          <w:tcPr>
            <w:tcW w:type="dxa" w:w="31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Identity and Access Management — הימנעות מתפקידי בסיס מורשים והרשאות עודפות לחשבונות שירות</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A.5.15, A.5.16, A.5.18, A.8.2</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AC-2, AC-3, AC-6, IA-2</w:t>
            </w:r>
          </w:p>
        </w:tc>
        <w:tc>
          <w:tcPr>
            <w:tcW w:type="dxa" w:w="1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ניהול הרשאות גישה; הפרדת תפקידים</w:t>
            </w:r>
          </w:p>
        </w:tc>
      </w:tr>
      <w:tr>
        <w:tc>
          <w:tcPr>
            <w:tcW w:type="dxa" w:w="1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אישורים ומפתחות ארוכי טווח</w:t>
            </w:r>
          </w:p>
        </w:tc>
        <w:tc>
          <w:tcPr>
            <w:tcW w:type="dxa" w:w="40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iam.managed.disableServiceAccountKeyCreation, iam.managed.disableServiceAccountKeyUpload, iam.managed.disableServiceAccountApiKeyCreation, iam.serviceAccountKeyExposureResponse, storage.restrictAuthTypes</w:t>
            </w:r>
          </w:p>
        </w:tc>
        <w:tc>
          <w:tcPr>
            <w:tcW w:type="dxa" w:w="31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Identity and Access Management — מפתחות חשבון שירות בניהול Google בלבד וסבב מפתחות</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A.5.17, A.8.5, A.8.24</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IA-5, AC-17, SC-12</w:t>
            </w:r>
          </w:p>
        </w:tc>
        <w:tc>
          <w:tcPr>
            <w:tcW w:type="dxa" w:w="1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אמצעי הזדהות; ניהול הרשאות גישה</w:t>
            </w:r>
          </w:p>
        </w:tc>
      </w:tr>
      <w:tr>
        <w:tc>
          <w:tcPr>
            <w:tcW w:type="dxa" w:w="1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שיתוף וגישה חוצי־ארגון</w:t>
            </w:r>
          </w:p>
        </w:tc>
        <w:tc>
          <w:tcPr>
            <w:tcW w:type="dxa" w:w="40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iam.allowedPolicyMemberDomains, essentialcontacts.managed.allowedContactDomains, resourcemanager.allowedExportDestinations, compute.restrictPrivateServiceConnectConsumer</w:t>
            </w:r>
          </w:p>
        </w:tc>
        <w:tc>
          <w:tcPr>
            <w:tcW w:type="dxa" w:w="31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Identity and Access Management — הגבלת שיתוף לזהויות בדומיין הארגוני</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A.5.14, A.5.19, A.8.12</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AC-20, AC-21, SC-7</w:t>
            </w:r>
          </w:p>
        </w:tc>
        <w:tc>
          <w:tcPr>
            <w:tcW w:type="dxa" w:w="1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מיקור חוץ; אבטחת תקשורת</w:t>
            </w:r>
          </w:p>
        </w:tc>
      </w:tr>
      <w:tr>
        <w:tc>
          <w:tcPr>
            <w:tcW w:type="dxa" w:w="1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הצפנה וניהול מפתחות</w:t>
            </w:r>
          </w:p>
        </w:tc>
        <w:tc>
          <w:tcPr>
            <w:tcW w:type="dxa" w:w="40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gcp.restrictNonCmekServices, gcp.restrictCmekCryptoKeyProjects, cloudkms.allowedProtectionLevels, cloudkms.disableBeforeDestroy, cloudkms.minimumDestroyScheduledDuration, container.managed.enableSecretsEncryption</w:t>
            </w:r>
          </w:p>
        </w:tc>
        <w:tc>
          <w:tcPr>
            <w:tcW w:type="dxa" w:w="31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Cloud KMS / Storage / BigQuery — הצפנה במפתחות בניהול הלקוח והפרדת תפקידים בניהול מפתחות</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A.8.24, A.5.33</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SC-12, SC-13, SC-28</w:t>
            </w:r>
          </w:p>
        </w:tc>
        <w:tc>
          <w:tcPr>
            <w:tcW w:type="dxa" w:w="1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אבטחת מידע במאגר; גיבוי ושחזור</w:t>
            </w:r>
          </w:p>
        </w:tc>
      </w:tr>
      <w:tr>
        <w:tc>
          <w:tcPr>
            <w:tcW w:type="dxa" w:w="1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ריבונות ומיקום נתונים</w:t>
            </w:r>
          </w:p>
        </w:tc>
        <w:tc>
          <w:tcPr>
            <w:tcW w:type="dxa" w:w="40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gcp.resourceLocations, gcp.restrictServiceUsage, bigquery.disableBQOmniAWS, bigquery.disableBQOmniAzure, compute.disableGlobalLoadBalancing</w:t>
            </w:r>
          </w:p>
        </w:tc>
        <w:tc>
          <w:tcPr>
            <w:tcW w:type="dxa" w:w="31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אין בקרה ייעודית בבנצ'מרק — נגזר מדרישות רגולטוריות ארגוניות</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A.5.31, A.5.34</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SA-9, PL-8</w:t>
            </w:r>
          </w:p>
        </w:tc>
        <w:tc>
          <w:tcPr>
            <w:tcW w:type="dxa" w:w="1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העברת מידע אל מחוץ לגבולות המדינה; מיקור חוץ</w:t>
            </w:r>
          </w:p>
        </w:tc>
      </w:tr>
      <w:tr>
        <w:tc>
          <w:tcPr>
            <w:tcW w:type="dxa" w:w="1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חשיפה לרשת ציבורית</w:t>
            </w:r>
          </w:p>
        </w:tc>
        <w:tc>
          <w:tcPr>
            <w:tcW w:type="dxa" w:w="40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compute.managed.vmExternalIpAccess, sql.managed.restrictPublicIp, sql.managed.restrictAuthorizedNetworks, storage.publicAccessPrevention, run.managed.requireInvokerIam, ainotebooks.restrictPublicIp</w:t>
            </w:r>
          </w:p>
        </w:tc>
        <w:tc>
          <w:tcPr>
            <w:tcW w:type="dxa" w:w="31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Networking / Cloud SQL / Storage — מניעת IP ציבורי, חסימת 0.0.0.0/0 ומניעת גישה אנונימית ל־buckets</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A.8.20, A.8.21, A.8.23</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SC-7, AC-3, AC-4</w:t>
            </w:r>
          </w:p>
        </w:tc>
        <w:tc>
          <w:tcPr>
            <w:tcW w:type="dxa" w:w="1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אבטחת תקשורת; בקרת גישה</w:t>
            </w:r>
          </w:p>
        </w:tc>
      </w:tr>
      <w:tr>
        <w:tc>
          <w:tcPr>
            <w:tcW w:type="dxa" w:w="1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פילוח וטופולוגיית רשת</w:t>
            </w:r>
          </w:p>
        </w:tc>
        <w:tc>
          <w:tcPr>
            <w:tcW w:type="dxa" w:w="40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compute.skipDefaultNetworkCreation, compute.restrictVpcPeering, compute.restrictSharedVpcHostProjects, compute.restrictSharedVpcSubnetworks, compute.restrictVpnPeerIPs, compute.disableAllIpv6</w:t>
            </w:r>
          </w:p>
        </w:tc>
        <w:tc>
          <w:tcPr>
            <w:tcW w:type="dxa" w:w="31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Networking — ביטול רשת ה־default והגבלת קישוריות בין רשתות</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A.8.20, A.8.22</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SC-7(5), SC-7(21), AC-4</w:t>
            </w:r>
          </w:p>
        </w:tc>
        <w:tc>
          <w:tcPr>
            <w:tcW w:type="dxa" w:w="1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אבטחת תקשורת; הפרדת מערכות</w:t>
            </w:r>
          </w:p>
        </w:tc>
      </w:tr>
      <w:tr>
        <w:tc>
          <w:tcPr>
            <w:tcW w:type="dxa" w:w="1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גישה מרחוק וניהול מכונות</w:t>
            </w:r>
          </w:p>
        </w:tc>
        <w:tc>
          <w:tcPr>
            <w:tcW w:type="dxa" w:w="40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compute.managed.requireOsLogin, compute.managed.blockProjectSshKeys, compute.disableSerialPortAccess, compute.disableSshInBrowser, compute.managed.requireOsConfig</w:t>
            </w:r>
          </w:p>
        </w:tc>
        <w:tc>
          <w:tcPr>
            <w:tcW w:type="dxa" w:w="31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Virtual Machines — הפעלת OS Login, חסימת מפתחות SSH ברמת פרויקט וביטול פורט טורי</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A.5.15, A.8.5, A.8.20</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AC-17, IA-2(1), CM-6</w:t>
            </w:r>
          </w:p>
        </w:tc>
        <w:tc>
          <w:tcPr>
            <w:tcW w:type="dxa" w:w="1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בקרת גישה ותיעודה; ניהול כוח אדם</w:t>
            </w:r>
          </w:p>
        </w:tc>
      </w:tr>
      <w:tr>
        <w:tc>
          <w:tcPr>
            <w:tcW w:type="dxa" w:w="1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שלמות תמונות ואתחול מאובטח</w:t>
            </w:r>
          </w:p>
        </w:tc>
        <w:tc>
          <w:tcPr>
            <w:tcW w:type="dxa" w:w="40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compute.requireShieldedVm, compute.trustedImageProjects, compute.managed.disableNestedVirtualization, compute.storageResourceUseRestrictions, compute.managed.disableVmsWithContainerStartupAgent</w:t>
            </w:r>
          </w:p>
        </w:tc>
        <w:tc>
          <w:tcPr>
            <w:tcW w:type="dxa" w:w="31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Virtual Machines — הפעלת Shielded VM והגבלת מקורות תמונות מהימנים</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A.8.9, A.8.19, A.8.31</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CM-2, CM-5, SI-7</w:t>
            </w:r>
          </w:p>
        </w:tc>
        <w:tc>
          <w:tcPr>
            <w:tcW w:type="dxa" w:w="1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אבטחת מידע במאגר; מיפוי מערכות</w:t>
            </w:r>
          </w:p>
        </w:tc>
      </w:tr>
      <w:tr>
        <w:tc>
          <w:tcPr>
            <w:tcW w:type="dxa" w:w="1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הקשחת קונטיינרים</w:t>
            </w:r>
          </w:p>
        </w:tc>
        <w:tc>
          <w:tcPr>
            <w:tcW w:type="dxa" w:w="40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container.managed.enableWorkloadIdentityFederation, container.managed.disallowDefaultComputeServiceAccount, container.managed.enablePrivateNodes, container.managed.enableNetworkPolicy, container.managed.disableRBACSystemBindings, container.managed.disableABAC</w:t>
            </w:r>
          </w:p>
        </w:tc>
        <w:tc>
          <w:tcPr>
            <w:tcW w:type="dxa" w:w="31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Kubernetes Engine — Workload Identity, צמתים פרטיים, RBAC ומדיניות רשת</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A.8.2, A.8.9, A.8.22</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AC-6, CM-6, SC-7</w:t>
            </w:r>
          </w:p>
        </w:tc>
        <w:tc>
          <w:tcPr>
            <w:tcW w:type="dxa" w:w="1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ניהול הרשאות גישה; הפרדת מערכות</w:t>
            </w:r>
          </w:p>
        </w:tc>
      </w:tr>
      <w:tr>
        <w:tc>
          <w:tcPr>
            <w:tcW w:type="dxa" w:w="1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תיעוד, ניטור ונראות</w:t>
            </w:r>
          </w:p>
        </w:tc>
        <w:tc>
          <w:tcPr>
            <w:tcW w:type="dxa" w:w="40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compute.requireVpcFlowLogs, container.managed.enableCloudLogging, gcp.detailedAuditLoggingMode, compute.disableSerialPortLogging</w:t>
            </w:r>
          </w:p>
        </w:tc>
        <w:tc>
          <w:tcPr>
            <w:tcW w:type="dxa" w:w="31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Logging and Monitoring — הפעלת Flow Logs ותיעוד ביקורת בכל הפרויקטים</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A.8.15, A.8.16, A.5.28</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AU-2, AU-6, AU-12, SI-4</w:t>
            </w:r>
          </w:p>
        </w:tc>
        <w:tc>
          <w:tcPr>
            <w:tcW w:type="dxa" w:w="1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תיעוד אירועי אבטחה; בקרת גישה ותיעודה</w:t>
            </w:r>
          </w:p>
        </w:tc>
      </w:tr>
      <w:tr>
        <w:tc>
          <w:tcPr>
            <w:tcW w:type="dxa" w:w="19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שרשרת אספקה ו־CI/CD</w:t>
            </w:r>
          </w:p>
        </w:tc>
        <w:tc>
          <w:tcPr>
            <w:tcW w:type="dxa" w:w="40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cloudbuild.allowedIntegrations, cloudbuild.useBuildServiceAccount, cloudbuild.useComputeServiceAccount, dataform.restrictGitRemotes, container.managed.enableBinaryAuthorization, run.managed.disableInlinedSource</w:t>
            </w:r>
          </w:p>
        </w:tc>
        <w:tc>
          <w:tcPr>
            <w:tcW w:type="dxa" w:w="310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אין בקרה ייעודית בבנצ'מרק — משלים את בקרות ה־IAM וה־Kubernetes Engine</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A.8.28, A.8.30, A.8.31, A.5.21</w:t>
            </w:r>
          </w:p>
        </w:tc>
        <w:tc>
          <w:tcPr>
            <w:tcW w:type="dxa" w:w="1550"/>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SR-3, SR-4, SR-11, SA-11</w:t>
            </w:r>
          </w:p>
        </w:tc>
        <w:tc>
          <w:tcPr>
            <w:tcW w:type="dxa" w:w="1858"/>
            <w:tcBorders>
              <w:top w:val="single" w:color="B4C0D0" w:sz="3"/>
              <w:left w:val="single" w:color="B4C0D0" w:sz="3"/>
              <w:bottom w:val="single" w:color="B4C0D0" w:sz="3"/>
              <w:right w:val="single" w:color="B4C0D0" w:sz="3"/>
            </w:tcBorders>
            <w:shd w:fill="EEF2F7" w:val="clear"/>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מיקור חוץ; ניהול שינויים ופיתוח</w:t>
            </w:r>
          </w:p>
        </w:tc>
      </w:tr>
      <w:tr>
        <w:tc>
          <w:tcPr>
            <w:tcW w:type="dxa" w:w="19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bCs/>
                <w:i w:val="false"/>
                <w:iCs w:val="false"/>
                <w:sz w:val="16"/>
                <w:szCs w:val="16"/>
                <w:rtl/>
              </w:rPr>
              <w:t xml:space="preserve">ממשל AI וצריכת מודלים</w:t>
            </w:r>
          </w:p>
        </w:tc>
        <w:tc>
          <w:tcPr>
            <w:tcW w:type="dxa" w:w="40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val="false"/>
              <w:spacing w:after="0" w:line="220"/>
              <w:jc w:val="left"/>
            </w:pPr>
            <w:r>
              <w:rPr>
                <w:rFonts w:ascii="Consolas" w:cs="Consolas" w:eastAsia="Consolas" w:hAnsi="Consolas"/>
                <w:sz w:val="14"/>
                <w:szCs w:val="14"/>
              </w:rPr>
              <w:t xml:space="preserve">vertexai.allowedModels, vertexai.allowedGenAIModels, vertexai.genAIGroundingSources, vertexai.disableGenAIGoogleSearchGrounding, discoveryengine.managed.allowedDataSources, ainotebooks.disableFileDownloads</w:t>
            </w:r>
          </w:p>
        </w:tc>
        <w:tc>
          <w:tcPr>
            <w:tcW w:type="dxa" w:w="310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אין בקרה ייעודית בבנצ'מרק — יש למפות מול ISO/IEC 42001 ומול מדיניות ה־AI הארגונית</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A.5.34, A.8.12, A.5.14</w:t>
            </w:r>
          </w:p>
        </w:tc>
        <w:tc>
          <w:tcPr>
            <w:tcW w:type="dxa" w:w="1550"/>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AC-4, SC-7, SI-12</w:t>
            </w:r>
          </w:p>
        </w:tc>
        <w:tc>
          <w:tcPr>
            <w:tcW w:type="dxa" w:w="1858"/>
            <w:tcBorders>
              <w:top w:val="single" w:color="B4C0D0" w:sz="3"/>
              <w:left w:val="single" w:color="B4C0D0" w:sz="3"/>
              <w:bottom w:val="single" w:color="B4C0D0" w:sz="3"/>
              <w:right w:val="single" w:color="B4C0D0" w:sz="3"/>
            </w:tcBorders>
            <w:tcMar>
              <w:top w:type="dxa" w:w="50"/>
              <w:left w:type="dxa" w:w="80"/>
              <w:bottom w:type="dxa" w:w="50"/>
              <w:right w:type="dxa" w:w="80"/>
            </w:tcMar>
            <w:vAlign w:val="top"/>
          </w:tcPr>
          <w:p>
            <w:pPr>
              <w:bidi/>
              <w:spacing w:after="0" w:line="230"/>
              <w:jc w:val="right"/>
            </w:pPr>
            <w:r>
              <w:rPr>
                <w:rFonts w:ascii="Arial" w:cs="Arial" w:eastAsia="Arial" w:hAnsi="Arial"/>
                <w:b w:val="false"/>
                <w:bCs w:val="false"/>
                <w:i w:val="false"/>
                <w:iCs w:val="false"/>
                <w:sz w:val="16"/>
                <w:szCs w:val="16"/>
                <w:rtl/>
              </w:rPr>
              <w:t xml:space="preserve">אבטחת מידע במאגר; העברת מידע לצד שלישי</w:t>
            </w:r>
          </w:p>
        </w:tc>
      </w:tr>
    </w:tbl>
    <w:p>
      <w:pPr>
        <w:bidi/>
        <w:spacing w:after="120" w:line="260"/>
        <w:jc w:val="right"/>
      </w:pPr>
      <w:r>
        <w:rPr>
          <w:rFonts w:ascii="Arial" w:cs="Arial" w:eastAsia="Arial" w:hAnsi="Arial"/>
          <w:b w:val="false"/>
          <w:bCs w:val="false"/>
          <w:i w:val="false"/>
          <w:iCs w:val="false"/>
          <w:sz w:val="19"/>
          <w:szCs w:val="19"/>
          <w:rtl/>
        </w:rPr>
        <w:t xml:space="preserve">שלושה תחומים — ריבונות נתונים, שרשרת אספקה וממשל AI — אינם מכוסים בבקרה ייעודית ב־CIS Benchmark. עבורם המקור המחייב הוא מדיניות הארגון עצמו, ולגבי ממשל AI מומלץ למפות גם מול ISO/IEC 42001.</w:t>
      </w:r>
    </w:p>
    <w:p>
      <w:pPr>
        <w:pStyle w:val="Heading2"/>
        <w:bidi/>
        <w:spacing w:after="140" w:before="320"/>
        <w:jc w:val="right"/>
      </w:pPr>
      <w:r>
        <w:rPr>
          <w:rFonts w:ascii="Arial" w:cs="Arial" w:eastAsia="Arial" w:hAnsi="Arial"/>
          <w:b/>
          <w:bCs/>
          <w:i w:val="false"/>
          <w:iCs w:val="false"/>
          <w:color w:val="1F3864"/>
          <w:sz w:val="26"/>
          <w:szCs w:val="26"/>
          <w:rtl/>
        </w:rPr>
        <w:t xml:space="preserve">נספח א' — הפקת הרשימה העדכנית מהסביבה</w:t>
      </w:r>
    </w:p>
    <w:p>
      <w:pPr>
        <w:bidi/>
        <w:spacing w:after="120" w:line="260"/>
        <w:jc w:val="right"/>
      </w:pPr>
      <w:r>
        <w:rPr>
          <w:rFonts w:ascii="Arial" w:cs="Arial" w:eastAsia="Arial" w:hAnsi="Arial"/>
          <w:b w:val="false"/>
          <w:bCs w:val="false"/>
          <w:i w:val="false"/>
          <w:iCs w:val="false"/>
          <w:sz w:val="20"/>
          <w:szCs w:val="20"/>
          <w:rtl/>
        </w:rPr>
        <w:t xml:space="preserve">מכיוון שרשימת האילוצים מתעדכנת בתדירות גבוהה, יש להפיק את הרשימה המלאה והעדכנית ישירות מהארגון לפני קביעת בייסליין. שלוש הפקודות הבאות מספקות תמונה מלאה:</w:t>
      </w:r>
    </w:p>
    <w:p>
      <w:pPr>
        <w:bidi/>
        <w:spacing w:after="60" w:line="260"/>
        <w:jc w:val="right"/>
      </w:pPr>
      <w:r>
        <w:rPr>
          <w:rFonts w:ascii="Arial" w:cs="Arial" w:eastAsia="Arial" w:hAnsi="Arial"/>
          <w:b w:val="false"/>
          <w:bCs w:val="false"/>
          <w:i w:val="false"/>
          <w:iCs w:val="false"/>
          <w:sz w:val="20"/>
          <w:szCs w:val="20"/>
          <w:rtl/>
        </w:rPr>
        <w:t xml:space="preserve">הצגת כל האילוצים הזמינים בארגון, כולל אלה שלא הוגדרה עבורם מדיניות:</w:t>
      </w:r>
    </w:p>
    <w:p>
      <w:pPr>
        <w:shd w:fill="F4F4F4" w:val="clear"/>
        <w:bidi w:val="false"/>
        <w:spacing w:after="60" w:line="240"/>
        <w:jc w:val="left"/>
      </w:pPr>
      <w:r>
        <w:rPr>
          <w:rFonts w:ascii="Consolas" w:cs="Consolas" w:eastAsia="Consolas" w:hAnsi="Consolas"/>
          <w:sz w:val="17"/>
          <w:szCs w:val="17"/>
        </w:rPr>
        <w:t xml:space="preserve">gcloud org-policies list --organization=ORGANIZATION_ID --show-unset</w:t>
      </w:r>
    </w:p>
    <w:p>
      <w:pPr>
        <w:bidi/>
        <w:spacing w:after="60" w:line="260"/>
        <w:jc w:val="right"/>
      </w:pPr>
      <w:r>
        <w:rPr>
          <w:rFonts w:ascii="Arial" w:cs="Arial" w:eastAsia="Arial" w:hAnsi="Arial"/>
          <w:b w:val="false"/>
          <w:bCs w:val="false"/>
          <w:i w:val="false"/>
          <w:iCs w:val="false"/>
          <w:sz w:val="20"/>
          <w:szCs w:val="20"/>
          <w:rtl/>
        </w:rPr>
        <w:t xml:space="preserve">הצגת המדיניות שהוגדרו בפועל (כולל אילוצי ה־Security Baseline):</w:t>
      </w:r>
    </w:p>
    <w:p>
      <w:pPr>
        <w:shd w:fill="F4F4F4" w:val="clear"/>
        <w:bidi w:val="false"/>
        <w:spacing w:after="60" w:line="240"/>
        <w:jc w:val="left"/>
      </w:pPr>
      <w:r>
        <w:rPr>
          <w:rFonts w:ascii="Consolas" w:cs="Consolas" w:eastAsia="Consolas" w:hAnsi="Consolas"/>
          <w:sz w:val="17"/>
          <w:szCs w:val="17"/>
        </w:rPr>
        <w:t xml:space="preserve">gcloud resource-manager org-policies list --organization=ORGANIZATION_ID</w:t>
      </w:r>
    </w:p>
    <w:p>
      <w:pPr>
        <w:bidi/>
        <w:spacing w:after="60" w:line="260"/>
        <w:jc w:val="right"/>
      </w:pPr>
      <w:r>
        <w:rPr>
          <w:rFonts w:ascii="Arial" w:cs="Arial" w:eastAsia="Arial" w:hAnsi="Arial"/>
          <w:b w:val="false"/>
          <w:bCs w:val="false"/>
          <w:i w:val="false"/>
          <w:iCs w:val="false"/>
          <w:sz w:val="20"/>
          <w:szCs w:val="20"/>
          <w:rtl/>
        </w:rPr>
        <w:t xml:space="preserve">קבלת הרשימה המלאה עם התיאורים דרך ה־API, לצורך ייצוא לטבלת בקרה:</w:t>
      </w:r>
    </w:p>
    <w:p>
      <w:pPr>
        <w:shd w:fill="F6F7F9" w:val="clear"/>
        <w:bidi w:val="false"/>
        <w:spacing w:after="0" w:before="60" w:line="210"/>
        <w:jc w:val="left"/>
      </w:pPr>
      <w:r>
        <w:rPr>
          <w:rFonts w:ascii="Consolas" w:cs="Consolas" w:eastAsia="Consolas" w:hAnsi="Consolas"/>
          <w:color w:val="1B2733"/>
          <w:sz w:val="15"/>
          <w:szCs w:val="15"/>
        </w:rPr>
        <w:t xml:space="preserve">curl -H "Authorization: Bearer $(gcloud auth print-access-token)" \</w:t>
      </w:r>
    </w:p>
    <w:p>
      <w:pPr>
        <w:shd w:fill="F6F7F9" w:val="clear"/>
        <w:bidi w:val="false"/>
        <w:spacing w:after="140" w:before="0" w:line="210"/>
        <w:jc w:val="left"/>
      </w:pPr>
      <w:r>
        <w:rPr>
          <w:rFonts w:ascii="Consolas" w:cs="Consolas" w:eastAsia="Consolas" w:hAnsi="Consolas"/>
          <w:color w:val="1B2733"/>
          <w:sz w:val="15"/>
          <w:szCs w:val="15"/>
        </w:rPr>
        <w:t xml:space="preserve">  https://orgpolicy.googleapis.com/v2/organizations/ORGANIZATION_ID/constraints</w:t>
      </w:r>
    </w:p>
    <w:p>
      <w:pPr>
        <w:bidi/>
        <w:spacing w:after="60" w:line="260"/>
        <w:jc w:val="right"/>
      </w:pPr>
      <w:r>
        <w:rPr>
          <w:rFonts w:ascii="Arial" w:cs="Arial" w:eastAsia="Arial" w:hAnsi="Arial"/>
          <w:b w:val="false"/>
          <w:bCs w:val="false"/>
          <w:i w:val="false"/>
          <w:iCs w:val="false"/>
          <w:sz w:val="20"/>
          <w:szCs w:val="20"/>
          <w:rtl/>
        </w:rPr>
        <w:t xml:space="preserve">בדיקת המדיניות האפקטיבית על משאב מסוים, לאחר חישוב ההורשה:</w:t>
      </w:r>
    </w:p>
    <w:p>
      <w:pPr>
        <w:shd w:fill="F4F4F4" w:val="clear"/>
        <w:bidi w:val="false"/>
        <w:spacing w:after="60" w:line="240"/>
        <w:jc w:val="left"/>
      </w:pPr>
      <w:r>
        <w:rPr>
          <w:rFonts w:ascii="Consolas" w:cs="Consolas" w:eastAsia="Consolas" w:hAnsi="Consolas"/>
          <w:sz w:val="17"/>
          <w:szCs w:val="17"/>
        </w:rPr>
        <w:t xml:space="preserve">gcloud org-policies describe CONSTRAINT_NAME --project=PROJECT_ID --effective</w:t>
      </w:r>
    </w:p>
    <w:p>
      <w:pPr>
        <w:pStyle w:val="Heading2"/>
        <w:bidi/>
        <w:spacing w:after="140" w:before="320"/>
        <w:jc w:val="right"/>
      </w:pPr>
      <w:r>
        <w:rPr>
          <w:rFonts w:ascii="Arial" w:cs="Arial" w:eastAsia="Arial" w:hAnsi="Arial"/>
          <w:b/>
          <w:bCs/>
          <w:i w:val="false"/>
          <w:iCs w:val="false"/>
          <w:color w:val="1F3864"/>
          <w:sz w:val="26"/>
          <w:szCs w:val="26"/>
          <w:rtl/>
        </w:rPr>
        <w:t xml:space="preserve">נספח ב' — כתיבה ב־Terraform</w:t>
      </w:r>
    </w:p>
    <w:p>
      <w:pPr>
        <w:bidi/>
        <w:spacing w:after="120" w:line="260"/>
        <w:jc w:val="right"/>
      </w:pPr>
      <w:r>
        <w:rPr>
          <w:rFonts w:ascii="Arial" w:cs="Arial" w:eastAsia="Arial" w:hAnsi="Arial"/>
          <w:b w:val="false"/>
          <w:bCs w:val="false"/>
          <w:i w:val="false"/>
          <w:iCs w:val="false"/>
          <w:sz w:val="20"/>
          <w:szCs w:val="20"/>
          <w:rtl/>
        </w:rPr>
        <w:t xml:space="preserve">המשאב לשימוש הוא google_org_policy_policy, המבוסס על Organization Policy API v2 ותומך באילוצי Managed, בפרמטרים, בהרצה יבשה ובכללים מותנים. המשאבים הוותיקים google_organization_policy, google_folder_organization_policy ו־google_project_organization_policy מבוססים על v1 — אין להשתמש בהם בפריסות חדשות.</w:t>
      </w:r>
    </w:p>
    <w:p>
      <w:pPr>
        <w:pStyle w:val="Heading3"/>
        <w:bidi/>
        <w:spacing w:after="100" w:before="260"/>
        <w:jc w:val="right"/>
      </w:pPr>
      <w:r>
        <w:rPr>
          <w:rFonts w:ascii="Arial" w:cs="Arial" w:eastAsia="Arial" w:hAnsi="Arial"/>
          <w:b/>
          <w:bCs/>
          <w:i w:val="false"/>
          <w:iCs w:val="false"/>
          <w:color w:val="2E5C8A"/>
          <w:sz w:val="23"/>
          <w:szCs w:val="23"/>
          <w:rtl/>
        </w:rPr>
        <w:t xml:space="preserve">ב.1  דרישות מקדימות</w:t>
      </w:r>
    </w:p>
    <w:p>
      <w:pPr>
        <w:bidi/>
        <w:spacing w:after="120" w:line="260"/>
        <w:jc w:val="right"/>
      </w:pPr>
      <w:r>
        <w:rPr>
          <w:rFonts w:ascii="Arial" w:cs="Arial" w:eastAsia="Arial" w:hAnsi="Arial"/>
          <w:b w:val="false"/>
          <w:bCs w:val="false"/>
          <w:i w:val="false"/>
          <w:iCs w:val="false"/>
          <w:sz w:val="19"/>
          <w:szCs w:val="19"/>
          <w:rtl/>
        </w:rPr>
        <w:t xml:space="preserve">חשבון השירות שמריץ את Terraform זקוק לתפקיד roles/orgpolicy.policyAdmin ברמת הארגון, וה־API של השירות חייב להיות מופעל בפרויקט הניהול.</w:t>
      </w:r>
    </w:p>
    <w:p>
      <w:pPr>
        <w:shd w:fill="F6F7F9" w:val="clear"/>
        <w:bidi w:val="false"/>
        <w:spacing w:after="0" w:before="60" w:line="210"/>
        <w:jc w:val="left"/>
      </w:pPr>
      <w:r>
        <w:rPr>
          <w:rFonts w:ascii="Consolas" w:cs="Consolas" w:eastAsia="Consolas" w:hAnsi="Consolas"/>
          <w:color w:val="1B2733"/>
          <w:sz w:val="15"/>
          <w:szCs w:val="15"/>
        </w:rPr>
        <w:t xml:space="preserve">resource "google_project_service" "orgpolicy" {</w:t>
      </w:r>
    </w:p>
    <w:p>
      <w:pPr>
        <w:shd w:fill="F6F7F9" w:val="clear"/>
        <w:bidi w:val="false"/>
        <w:spacing w:after="0" w:before="0" w:line="210"/>
        <w:jc w:val="left"/>
      </w:pPr>
      <w:r>
        <w:rPr>
          <w:rFonts w:ascii="Consolas" w:cs="Consolas" w:eastAsia="Consolas" w:hAnsi="Consolas"/>
          <w:color w:val="1B2733"/>
          <w:sz w:val="15"/>
          <w:szCs w:val="15"/>
        </w:rPr>
        <w:t xml:space="preserve">  project            = var.tf_project_id</w:t>
      </w:r>
    </w:p>
    <w:p>
      <w:pPr>
        <w:shd w:fill="F6F7F9" w:val="clear"/>
        <w:bidi w:val="false"/>
        <w:spacing w:after="0" w:before="0" w:line="210"/>
        <w:jc w:val="left"/>
      </w:pPr>
      <w:r>
        <w:rPr>
          <w:rFonts w:ascii="Consolas" w:cs="Consolas" w:eastAsia="Consolas" w:hAnsi="Consolas"/>
          <w:color w:val="1B2733"/>
          <w:sz w:val="15"/>
          <w:szCs w:val="15"/>
        </w:rPr>
        <w:t xml:space="preserve">  service            = "orgpolicy.googleapis.com"</w:t>
      </w:r>
    </w:p>
    <w:p>
      <w:pPr>
        <w:shd w:fill="F6F7F9" w:val="clear"/>
        <w:bidi w:val="false"/>
        <w:spacing w:after="0" w:before="0" w:line="210"/>
        <w:jc w:val="left"/>
      </w:pPr>
      <w:r>
        <w:rPr>
          <w:rFonts w:ascii="Consolas" w:cs="Consolas" w:eastAsia="Consolas" w:hAnsi="Consolas"/>
          <w:color w:val="1B2733"/>
          <w:sz w:val="15"/>
          <w:szCs w:val="15"/>
        </w:rPr>
        <w:t xml:space="preserve">  disable_on_destroy = false</w:t>
      </w:r>
    </w:p>
    <w:p>
      <w:pPr>
        <w:shd w:fill="F6F7F9" w:val="clear"/>
        <w:bidi w:val="false"/>
        <w:spacing w:after="140" w:before="0" w:line="210"/>
        <w:jc w:val="left"/>
      </w:pPr>
      <w:r>
        <w:rPr>
          <w:rFonts w:ascii="Consolas" w:cs="Consolas" w:eastAsia="Consolas" w:hAnsi="Consolas"/>
          <w:color w:val="1B2733"/>
          <w:sz w:val="15"/>
          <w:szCs w:val="15"/>
        </w:rPr>
        <w:t xml:space="preserve">}</w:t>
      </w:r>
    </w:p>
    <w:p>
      <w:pPr>
        <w:pStyle w:val="Heading3"/>
        <w:bidi/>
        <w:spacing w:after="100" w:before="260"/>
        <w:jc w:val="right"/>
      </w:pPr>
      <w:r>
        <w:rPr>
          <w:rFonts w:ascii="Arial" w:cs="Arial" w:eastAsia="Arial" w:hAnsi="Arial"/>
          <w:b/>
          <w:bCs/>
          <w:i w:val="false"/>
          <w:iCs w:val="false"/>
          <w:color w:val="2E5C8A"/>
          <w:sz w:val="23"/>
          <w:szCs w:val="23"/>
          <w:rtl/>
        </w:rPr>
        <w:t xml:space="preserve">ב.2  אילוץ בוליאני</w:t>
      </w:r>
    </w:p>
    <w:p>
      <w:pPr>
        <w:bidi/>
        <w:spacing w:after="120" w:line="260"/>
        <w:jc w:val="right"/>
      </w:pPr>
      <w:r>
        <w:rPr>
          <w:rFonts w:ascii="Arial" w:cs="Arial" w:eastAsia="Arial" w:hAnsi="Arial"/>
          <w:b w:val="false"/>
          <w:bCs w:val="false"/>
          <w:i w:val="false"/>
          <w:iCs w:val="false"/>
          <w:sz w:val="19"/>
          <w:szCs w:val="19"/>
          <w:rtl/>
        </w:rPr>
        <w:t xml:space="preserve">המבנה הבסיסי. שים לב ש־enforce הוא מחרוזת ("TRUE" / "FALSE") ולא ערך בוליאני של Terraform.</w:t>
      </w:r>
    </w:p>
    <w:p>
      <w:pPr>
        <w:shd w:fill="F6F7F9" w:val="clear"/>
        <w:bidi w:val="false"/>
        <w:spacing w:after="0" w:before="60" w:line="210"/>
        <w:jc w:val="left"/>
      </w:pPr>
      <w:r>
        <w:rPr>
          <w:rFonts w:ascii="Consolas" w:cs="Consolas" w:eastAsia="Consolas" w:hAnsi="Consolas"/>
          <w:color w:val="1B2733"/>
          <w:sz w:val="15"/>
          <w:szCs w:val="15"/>
        </w:rPr>
        <w:t xml:space="preserve">resource "google_org_policy_policy" "require_os_login" {</w:t>
      </w:r>
    </w:p>
    <w:p>
      <w:pPr>
        <w:shd w:fill="F6F7F9" w:val="clear"/>
        <w:bidi w:val="false"/>
        <w:spacing w:after="0" w:before="0" w:line="210"/>
        <w:jc w:val="left"/>
      </w:pPr>
      <w:r>
        <w:rPr>
          <w:rFonts w:ascii="Consolas" w:cs="Consolas" w:eastAsia="Consolas" w:hAnsi="Consolas"/>
          <w:color w:val="1B2733"/>
          <w:sz w:val="15"/>
          <w:szCs w:val="15"/>
        </w:rPr>
        <w:t xml:space="preserve">  name   = "organizations/${var.org_id}/policies/compute.managed.requireOsLogin"</w:t>
      </w:r>
    </w:p>
    <w:p>
      <w:pPr>
        <w:shd w:fill="F6F7F9" w:val="clear"/>
        <w:bidi w:val="false"/>
        <w:spacing w:after="0" w:before="0" w:line="210"/>
        <w:jc w:val="left"/>
      </w:pPr>
      <w:r>
        <w:rPr>
          <w:rFonts w:ascii="Consolas" w:cs="Consolas" w:eastAsia="Consolas" w:hAnsi="Consolas"/>
          <w:color w:val="1B2733"/>
          <w:sz w:val="15"/>
          <w:szCs w:val="15"/>
        </w:rPr>
        <w:t xml:space="preserve">  parent = "organizations/${var.org_id}"</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spec {</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enforce = "TRUE"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140" w:before="0" w:line="210"/>
        <w:jc w:val="left"/>
      </w:pPr>
      <w:r>
        <w:rPr>
          <w:rFonts w:ascii="Consolas" w:cs="Consolas" w:eastAsia="Consolas" w:hAnsi="Consolas"/>
          <w:color w:val="1B2733"/>
          <w:sz w:val="15"/>
          <w:szCs w:val="15"/>
        </w:rPr>
        <w:t xml:space="preserve">}</w:t>
      </w:r>
    </w:p>
    <w:p>
      <w:pPr>
        <w:pStyle w:val="Heading3"/>
        <w:bidi/>
        <w:spacing w:after="100" w:before="260"/>
        <w:jc w:val="right"/>
      </w:pPr>
      <w:r>
        <w:rPr>
          <w:rFonts w:ascii="Arial" w:cs="Arial" w:eastAsia="Arial" w:hAnsi="Arial"/>
          <w:b/>
          <w:bCs/>
          <w:i w:val="false"/>
          <w:iCs w:val="false"/>
          <w:color w:val="2E5C8A"/>
          <w:sz w:val="23"/>
          <w:szCs w:val="23"/>
          <w:rtl/>
        </w:rPr>
        <w:t xml:space="preserve">ב.3  אילוץ מסוג List</w:t>
      </w:r>
    </w:p>
    <w:p>
      <w:pPr>
        <w:bidi/>
        <w:spacing w:after="120" w:line="260"/>
        <w:jc w:val="right"/>
      </w:pPr>
      <w:r>
        <w:rPr>
          <w:rFonts w:ascii="Arial" w:cs="Arial" w:eastAsia="Arial" w:hAnsi="Arial"/>
          <w:b w:val="false"/>
          <w:bCs w:val="false"/>
          <w:i w:val="false"/>
          <w:iCs w:val="false"/>
          <w:sz w:val="19"/>
          <w:szCs w:val="19"/>
          <w:rtl/>
        </w:rPr>
        <w:t xml:space="preserve">רשימת ערכים מותרים או אסורים. חלופות נוספות בתוך rules הן allow_all = "TRUE" ו־deny_all = "TRUE".</w:t>
      </w:r>
    </w:p>
    <w:p>
      <w:pPr>
        <w:shd w:fill="F6F7F9" w:val="clear"/>
        <w:bidi w:val="false"/>
        <w:spacing w:after="0" w:before="60" w:line="210"/>
        <w:jc w:val="left"/>
      </w:pPr>
      <w:r>
        <w:rPr>
          <w:rFonts w:ascii="Consolas" w:cs="Consolas" w:eastAsia="Consolas" w:hAnsi="Consolas"/>
          <w:color w:val="1B2733"/>
          <w:sz w:val="15"/>
          <w:szCs w:val="15"/>
        </w:rPr>
        <w:t xml:space="preserve">resource "google_org_policy_policy" "resource_locations" {</w:t>
      </w:r>
    </w:p>
    <w:p>
      <w:pPr>
        <w:shd w:fill="F6F7F9" w:val="clear"/>
        <w:bidi w:val="false"/>
        <w:spacing w:after="0" w:before="0" w:line="210"/>
        <w:jc w:val="left"/>
      </w:pPr>
      <w:r>
        <w:rPr>
          <w:rFonts w:ascii="Consolas" w:cs="Consolas" w:eastAsia="Consolas" w:hAnsi="Consolas"/>
          <w:color w:val="1B2733"/>
          <w:sz w:val="15"/>
          <w:szCs w:val="15"/>
        </w:rPr>
        <w:t xml:space="preserve">  name   = "organizations/${var.org_id}/policies/gcp.resourceLocations"</w:t>
      </w:r>
    </w:p>
    <w:p>
      <w:pPr>
        <w:shd w:fill="F6F7F9" w:val="clear"/>
        <w:bidi w:val="false"/>
        <w:spacing w:after="0" w:before="0" w:line="210"/>
        <w:jc w:val="left"/>
      </w:pPr>
      <w:r>
        <w:rPr>
          <w:rFonts w:ascii="Consolas" w:cs="Consolas" w:eastAsia="Consolas" w:hAnsi="Consolas"/>
          <w:color w:val="1B2733"/>
          <w:sz w:val="15"/>
          <w:szCs w:val="15"/>
        </w:rPr>
        <w:t xml:space="preserve">  parent = "organizations/${var.org_id}"</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spec {</w:t>
      </w:r>
    </w:p>
    <w:p>
      <w:pPr>
        <w:shd w:fill="F6F7F9" w:val="clear"/>
        <w:bidi w:val="false"/>
        <w:spacing w:after="0" w:before="0" w:line="210"/>
        <w:jc w:val="left"/>
      </w:pPr>
      <w:r>
        <w:rPr>
          <w:rFonts w:ascii="Consolas" w:cs="Consolas" w:eastAsia="Consolas" w:hAnsi="Consolas"/>
          <w:color w:val="1B2733"/>
          <w:sz w:val="15"/>
          <w:szCs w:val="15"/>
        </w:rPr>
        <w:t xml:space="preserve">    inherit_from_parent = false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values {</w:t>
      </w:r>
    </w:p>
    <w:p>
      <w:pPr>
        <w:shd w:fill="F6F7F9" w:val="clear"/>
        <w:bidi w:val="false"/>
        <w:spacing w:after="0" w:before="0" w:line="210"/>
        <w:jc w:val="left"/>
      </w:pPr>
      <w:r>
        <w:rPr>
          <w:rFonts w:ascii="Consolas" w:cs="Consolas" w:eastAsia="Consolas" w:hAnsi="Consolas"/>
          <w:color w:val="1B2733"/>
          <w:sz w:val="15"/>
          <w:szCs w:val="15"/>
        </w:rPr>
        <w:t xml:space="preserve">        allowed_values = [</w:t>
      </w:r>
    </w:p>
    <w:p>
      <w:pPr>
        <w:shd w:fill="F6F7F9" w:val="clear"/>
        <w:bidi w:val="false"/>
        <w:spacing w:after="0" w:before="0" w:line="210"/>
        <w:jc w:val="left"/>
      </w:pPr>
      <w:r>
        <w:rPr>
          <w:rFonts w:ascii="Consolas" w:cs="Consolas" w:eastAsia="Consolas" w:hAnsi="Consolas"/>
          <w:color w:val="1B2733"/>
          <w:sz w:val="15"/>
          <w:szCs w:val="15"/>
        </w:rPr>
        <w:t xml:space="preserve">          "in:europe-west1-locations",</w:t>
      </w:r>
    </w:p>
    <w:p>
      <w:pPr>
        <w:shd w:fill="F6F7F9" w:val="clear"/>
        <w:bidi w:val="false"/>
        <w:spacing w:after="0" w:before="0" w:line="210"/>
        <w:jc w:val="left"/>
      </w:pPr>
      <w:r>
        <w:rPr>
          <w:rFonts w:ascii="Consolas" w:cs="Consolas" w:eastAsia="Consolas" w:hAnsi="Consolas"/>
          <w:color w:val="1B2733"/>
          <w:sz w:val="15"/>
          <w:szCs w:val="15"/>
        </w:rPr>
        <w:t xml:space="preserve">          "in:europe-west4-locations",</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140" w:before="0" w:line="210"/>
        <w:jc w:val="left"/>
      </w:pPr>
      <w:r>
        <w:rPr>
          <w:rFonts w:ascii="Consolas" w:cs="Consolas" w:eastAsia="Consolas" w:hAnsi="Consolas"/>
          <w:color w:val="1B2733"/>
          <w:sz w:val="15"/>
          <w:szCs w:val="15"/>
        </w:rPr>
        <w:t xml:space="preserve">}</w:t>
      </w:r>
    </w:p>
    <w:p>
      <w:pPr>
        <w:pStyle w:val="Heading3"/>
        <w:bidi/>
        <w:spacing w:after="100" w:before="260"/>
        <w:jc w:val="right"/>
      </w:pPr>
      <w:r>
        <w:rPr>
          <w:rFonts w:ascii="Arial" w:cs="Arial" w:eastAsia="Arial" w:hAnsi="Arial"/>
          <w:b/>
          <w:bCs/>
          <w:i w:val="false"/>
          <w:iCs w:val="false"/>
          <w:color w:val="2E5C8A"/>
          <w:sz w:val="23"/>
          <w:szCs w:val="23"/>
          <w:rtl/>
        </w:rPr>
        <w:t xml:space="preserve">ב.4  אילוץ Managed עם פרמטרים</w:t>
      </w:r>
    </w:p>
    <w:p>
      <w:pPr>
        <w:bidi/>
        <w:spacing w:after="120" w:line="260"/>
        <w:jc w:val="right"/>
      </w:pPr>
      <w:r>
        <w:rPr>
          <w:rFonts w:ascii="Arial" w:cs="Arial" w:eastAsia="Arial" w:hAnsi="Arial"/>
          <w:b w:val="false"/>
          <w:bCs w:val="false"/>
          <w:i w:val="false"/>
          <w:iCs w:val="false"/>
          <w:sz w:val="19"/>
          <w:szCs w:val="19"/>
          <w:rtl/>
        </w:rPr>
        <w:t xml:space="preserve">אילוצי Managed מקבילים לאילוצי List מדור קודם מקבלים את הערכים בשדה parameters כ־JSON, ולא במבנה values.</w:t>
      </w:r>
    </w:p>
    <w:p>
      <w:pPr>
        <w:shd w:fill="F6F7F9" w:val="clear"/>
        <w:bidi w:val="false"/>
        <w:spacing w:after="0" w:before="60" w:line="210"/>
        <w:jc w:val="left"/>
      </w:pPr>
      <w:r>
        <w:rPr>
          <w:rFonts w:ascii="Consolas" w:cs="Consolas" w:eastAsia="Consolas" w:hAnsi="Consolas"/>
          <w:color w:val="1B2733"/>
          <w:sz w:val="15"/>
          <w:szCs w:val="15"/>
        </w:rPr>
        <w:t xml:space="preserve">resource "google_org_policy_policy" "allowed_contact_domains" {</w:t>
      </w:r>
    </w:p>
    <w:p>
      <w:pPr>
        <w:shd w:fill="F6F7F9" w:val="clear"/>
        <w:bidi w:val="false"/>
        <w:spacing w:after="0" w:before="0" w:line="210"/>
        <w:jc w:val="left"/>
      </w:pPr>
      <w:r>
        <w:rPr>
          <w:rFonts w:ascii="Consolas" w:cs="Consolas" w:eastAsia="Consolas" w:hAnsi="Consolas"/>
          <w:color w:val="1B2733"/>
          <w:sz w:val="15"/>
          <w:szCs w:val="15"/>
        </w:rPr>
        <w:t xml:space="preserve">  name   = "organizations/${var.org_id}/policies/essentialcontacts.managed.allowedContactDomains"</w:t>
      </w:r>
    </w:p>
    <w:p>
      <w:pPr>
        <w:shd w:fill="F6F7F9" w:val="clear"/>
        <w:bidi w:val="false"/>
        <w:spacing w:after="0" w:before="0" w:line="210"/>
        <w:jc w:val="left"/>
      </w:pPr>
      <w:r>
        <w:rPr>
          <w:rFonts w:ascii="Consolas" w:cs="Consolas" w:eastAsia="Consolas" w:hAnsi="Consolas"/>
          <w:color w:val="1B2733"/>
          <w:sz w:val="15"/>
          <w:szCs w:val="15"/>
        </w:rPr>
        <w:t xml:space="preserve">  parent = "organizations/${var.org_id}"</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spec {</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enforce = "TRUE"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parameters = jsonencode({</w:t>
      </w:r>
    </w:p>
    <w:p>
      <w:pPr>
        <w:shd w:fill="F6F7F9" w:val="clear"/>
        <w:bidi w:val="false"/>
        <w:spacing w:after="0" w:before="0" w:line="210"/>
        <w:jc w:val="left"/>
      </w:pPr>
      <w:r>
        <w:rPr>
          <w:rFonts w:ascii="Consolas" w:cs="Consolas" w:eastAsia="Consolas" w:hAnsi="Consolas"/>
          <w:color w:val="1B2733"/>
          <w:sz w:val="15"/>
          <w:szCs w:val="15"/>
        </w:rPr>
        <w:t xml:space="preserve">        allowedDomains = ["@example.co.il"]</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140" w:before="0" w:line="210"/>
        <w:jc w:val="left"/>
      </w:pPr>
      <w:r>
        <w:rPr>
          <w:rFonts w:ascii="Consolas" w:cs="Consolas" w:eastAsia="Consolas" w:hAnsi="Consolas"/>
          <w:color w:val="1B2733"/>
          <w:sz w:val="15"/>
          <w:szCs w:val="15"/>
        </w:rPr>
        <w:t xml:space="preserve">}</w:t>
      </w:r>
    </w:p>
    <w:p>
      <w:pPr>
        <w:pStyle w:val="Heading3"/>
        <w:bidi/>
        <w:spacing w:after="100" w:before="260"/>
        <w:jc w:val="right"/>
      </w:pPr>
      <w:r>
        <w:rPr>
          <w:rFonts w:ascii="Arial" w:cs="Arial" w:eastAsia="Arial" w:hAnsi="Arial"/>
          <w:b/>
          <w:bCs/>
          <w:i w:val="false"/>
          <w:iCs w:val="false"/>
          <w:color w:val="2E5C8A"/>
          <w:sz w:val="23"/>
          <w:szCs w:val="23"/>
          <w:rtl/>
        </w:rPr>
        <w:t xml:space="preserve">ב.5  הרצה יבשה לצד המצב הפעיל</w:t>
      </w:r>
    </w:p>
    <w:p>
      <w:pPr>
        <w:bidi/>
        <w:spacing w:after="120" w:line="260"/>
        <w:jc w:val="right"/>
      </w:pPr>
      <w:r>
        <w:rPr>
          <w:rFonts w:ascii="Arial" w:cs="Arial" w:eastAsia="Arial" w:hAnsi="Arial"/>
          <w:b w:val="false"/>
          <w:bCs w:val="false"/>
          <w:i w:val="false"/>
          <w:iCs w:val="false"/>
          <w:sz w:val="19"/>
          <w:szCs w:val="19"/>
          <w:rtl/>
        </w:rPr>
        <w:t xml:space="preserve">spec מתאר את המצב הנאכף בפועל, ו־dry_run_spec את המדיניות הנבדקת. ההפרות של ה־dry-run נרשמות ב־Cloud Audit Logs מבלי לחסום פעולות.</w:t>
      </w:r>
    </w:p>
    <w:p>
      <w:pPr>
        <w:shd w:fill="F6F7F9" w:val="clear"/>
        <w:bidi w:val="false"/>
        <w:spacing w:after="0" w:before="60" w:line="210"/>
        <w:jc w:val="left"/>
      </w:pPr>
      <w:r>
        <w:rPr>
          <w:rFonts w:ascii="Consolas" w:cs="Consolas" w:eastAsia="Consolas" w:hAnsi="Consolas"/>
          <w:color w:val="1B2733"/>
          <w:sz w:val="15"/>
          <w:szCs w:val="15"/>
        </w:rPr>
        <w:t xml:space="preserve">resource "google_org_policy_policy" "vm_external_ip" {</w:t>
      </w:r>
    </w:p>
    <w:p>
      <w:pPr>
        <w:shd w:fill="F6F7F9" w:val="clear"/>
        <w:bidi w:val="false"/>
        <w:spacing w:after="0" w:before="0" w:line="210"/>
        <w:jc w:val="left"/>
      </w:pPr>
      <w:r>
        <w:rPr>
          <w:rFonts w:ascii="Consolas" w:cs="Consolas" w:eastAsia="Consolas" w:hAnsi="Consolas"/>
          <w:color w:val="1B2733"/>
          <w:sz w:val="15"/>
          <w:szCs w:val="15"/>
        </w:rPr>
        <w:t xml:space="preserve">  name   = "organizations/${var.org_id}/policies/compute.vmExternalIpAccess"</w:t>
      </w:r>
    </w:p>
    <w:p>
      <w:pPr>
        <w:shd w:fill="F6F7F9" w:val="clear"/>
        <w:bidi w:val="false"/>
        <w:spacing w:after="0" w:before="0" w:line="210"/>
        <w:jc w:val="left"/>
      </w:pPr>
      <w:r>
        <w:rPr>
          <w:rFonts w:ascii="Consolas" w:cs="Consolas" w:eastAsia="Consolas" w:hAnsi="Consolas"/>
          <w:color w:val="1B2733"/>
          <w:sz w:val="15"/>
          <w:szCs w:val="15"/>
        </w:rPr>
        <w:t xml:space="preserve">  parent = "organizations/${var.org_id}"</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6A7B8C"/>
          <w:sz w:val="15"/>
          <w:szCs w:val="15"/>
        </w:rPr>
        <w:t xml:space="preserve">  # המצב הפעיל כיום — ללא חסימה</w:t>
      </w:r>
    </w:p>
    <w:p>
      <w:pPr>
        <w:shd w:fill="F6F7F9" w:val="clear"/>
        <w:bidi w:val="false"/>
        <w:spacing w:after="0" w:before="0" w:line="210"/>
        <w:jc w:val="left"/>
      </w:pPr>
      <w:r>
        <w:rPr>
          <w:rFonts w:ascii="Consolas" w:cs="Consolas" w:eastAsia="Consolas" w:hAnsi="Consolas"/>
          <w:color w:val="1B2733"/>
          <w:sz w:val="15"/>
          <w:szCs w:val="15"/>
        </w:rPr>
        <w:t xml:space="preserve">  spec {</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allow_all = "TRUE"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6A7B8C"/>
          <w:sz w:val="15"/>
          <w:szCs w:val="15"/>
        </w:rPr>
        <w:t xml:space="preserve">  # המדיניות הנבדקת לפני האכיפה</w:t>
      </w:r>
    </w:p>
    <w:p>
      <w:pPr>
        <w:shd w:fill="F6F7F9" w:val="clear"/>
        <w:bidi w:val="false"/>
        <w:spacing w:after="0" w:before="0" w:line="210"/>
        <w:jc w:val="left"/>
      </w:pPr>
      <w:r>
        <w:rPr>
          <w:rFonts w:ascii="Consolas" w:cs="Consolas" w:eastAsia="Consolas" w:hAnsi="Consolas"/>
          <w:color w:val="1B2733"/>
          <w:sz w:val="15"/>
          <w:szCs w:val="15"/>
        </w:rPr>
        <w:t xml:space="preserve">  dry_run_spec {</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values {</w:t>
      </w:r>
    </w:p>
    <w:p>
      <w:pPr>
        <w:shd w:fill="F6F7F9" w:val="clear"/>
        <w:bidi w:val="false"/>
        <w:spacing w:after="0" w:before="0" w:line="210"/>
        <w:jc w:val="left"/>
      </w:pPr>
      <w:r>
        <w:rPr>
          <w:rFonts w:ascii="Consolas" w:cs="Consolas" w:eastAsia="Consolas" w:hAnsi="Consolas"/>
          <w:color w:val="1B2733"/>
          <w:sz w:val="15"/>
          <w:szCs w:val="15"/>
        </w:rPr>
        <w:t xml:space="preserve">        allowed_values = [</w:t>
      </w:r>
    </w:p>
    <w:p>
      <w:pPr>
        <w:shd w:fill="F6F7F9" w:val="clear"/>
        <w:bidi w:val="false"/>
        <w:spacing w:after="0" w:before="0" w:line="210"/>
        <w:jc w:val="left"/>
      </w:pPr>
      <w:r>
        <w:rPr>
          <w:rFonts w:ascii="Consolas" w:cs="Consolas" w:eastAsia="Consolas" w:hAnsi="Consolas"/>
          <w:color w:val="1B2733"/>
          <w:sz w:val="15"/>
          <w:szCs w:val="15"/>
        </w:rPr>
        <w:t xml:space="preserve">          "projects/net-prod/zones/europe-west4-a/instances/bastion-01",</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140" w:before="0" w:line="210"/>
        <w:jc w:val="left"/>
      </w:pPr>
      <w:r>
        <w:rPr>
          <w:rFonts w:ascii="Consolas" w:cs="Consolas" w:eastAsia="Consolas" w:hAnsi="Consolas"/>
          <w:color w:val="1B2733"/>
          <w:sz w:val="15"/>
          <w:szCs w:val="15"/>
        </w:rPr>
        <w:t xml:space="preserve">}</w:t>
      </w:r>
    </w:p>
    <w:p>
      <w:pPr>
        <w:pStyle w:val="Heading3"/>
        <w:bidi/>
        <w:spacing w:after="100" w:before="260"/>
        <w:jc w:val="right"/>
      </w:pPr>
      <w:r>
        <w:rPr>
          <w:rFonts w:ascii="Arial" w:cs="Arial" w:eastAsia="Arial" w:hAnsi="Arial"/>
          <w:b/>
          <w:bCs/>
          <w:i w:val="false"/>
          <w:iCs w:val="false"/>
          <w:color w:val="2E5C8A"/>
          <w:sz w:val="23"/>
          <w:szCs w:val="23"/>
          <w:rtl/>
        </w:rPr>
        <w:t xml:space="preserve">ב.6  אכיפה מותנית לפי tag</w:t>
      </w:r>
    </w:p>
    <w:p>
      <w:pPr>
        <w:bidi/>
        <w:spacing w:after="120" w:line="260"/>
        <w:jc w:val="right"/>
      </w:pPr>
      <w:r>
        <w:rPr>
          <w:rFonts w:ascii="Arial" w:cs="Arial" w:eastAsia="Arial" w:hAnsi="Arial"/>
          <w:b w:val="false"/>
          <w:bCs w:val="false"/>
          <w:i w:val="false"/>
          <w:iCs w:val="false"/>
          <w:sz w:val="19"/>
          <w:szCs w:val="19"/>
          <w:rtl/>
        </w:rPr>
        <w:t xml:space="preserve">סדר הכללים מהותי: הכלל המותנה הראשון שמתאים למשאב הוא זה שגובר, ולכן הכלל חסר התנאי — ברירת המחדל — חייב להופיע אחרון.</w:t>
      </w:r>
    </w:p>
    <w:p>
      <w:pPr>
        <w:shd w:fill="F6F7F9" w:val="clear"/>
        <w:bidi w:val="false"/>
        <w:spacing w:after="0" w:before="60" w:line="210"/>
        <w:jc w:val="left"/>
      </w:pPr>
      <w:r>
        <w:rPr>
          <w:rFonts w:ascii="Consolas" w:cs="Consolas" w:eastAsia="Consolas" w:hAnsi="Consolas"/>
          <w:color w:val="1B2733"/>
          <w:sz w:val="15"/>
          <w:szCs w:val="15"/>
        </w:rPr>
        <w:t xml:space="preserve">resource "google_org_policy_policy" "require_shielded_vm" {</w:t>
      </w:r>
    </w:p>
    <w:p>
      <w:pPr>
        <w:shd w:fill="F6F7F9" w:val="clear"/>
        <w:bidi w:val="false"/>
        <w:spacing w:after="0" w:before="0" w:line="210"/>
        <w:jc w:val="left"/>
      </w:pPr>
      <w:r>
        <w:rPr>
          <w:rFonts w:ascii="Consolas" w:cs="Consolas" w:eastAsia="Consolas" w:hAnsi="Consolas"/>
          <w:color w:val="1B2733"/>
          <w:sz w:val="15"/>
          <w:szCs w:val="15"/>
        </w:rPr>
        <w:t xml:space="preserve">  name   = "folders/${var.folder_id}/policies/compute.requireShieldedVm"</w:t>
      </w:r>
    </w:p>
    <w:p>
      <w:pPr>
        <w:shd w:fill="F6F7F9" w:val="clear"/>
        <w:bidi w:val="false"/>
        <w:spacing w:after="0" w:before="0" w:line="210"/>
        <w:jc w:val="left"/>
      </w:pPr>
      <w:r>
        <w:rPr>
          <w:rFonts w:ascii="Consolas" w:cs="Consolas" w:eastAsia="Consolas" w:hAnsi="Consolas"/>
          <w:color w:val="1B2733"/>
          <w:sz w:val="15"/>
          <w:szCs w:val="15"/>
        </w:rPr>
        <w:t xml:space="preserve">  parent = "folders/${var.folder_id}"</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spec {</w:t>
      </w:r>
    </w:p>
    <w:p>
      <w:pPr>
        <w:shd w:fill="F6F7F9" w:val="clear"/>
        <w:bidi w:val="false"/>
        <w:spacing w:after="0" w:before="0" w:line="210"/>
        <w:jc w:val="left"/>
      </w:pPr>
      <w:r>
        <w:rPr>
          <w:rFonts w:ascii="Consolas" w:cs="Consolas" w:eastAsia="Consolas" w:hAnsi="Consolas"/>
          <w:color w:val="6A7B8C"/>
          <w:sz w:val="15"/>
          <w:szCs w:val="15"/>
        </w:rPr>
        <w:t xml:space="preserve">    # חריג מתועד לסביבת sandbox</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enforce = "FALSE"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condition {</w:t>
      </w:r>
    </w:p>
    <w:p>
      <w:pPr>
        <w:shd w:fill="F6F7F9" w:val="clear"/>
        <w:bidi w:val="false"/>
        <w:spacing w:after="0" w:before="0" w:line="210"/>
        <w:jc w:val="left"/>
      </w:pPr>
      <w:r>
        <w:rPr>
          <w:rFonts w:ascii="Consolas" w:cs="Consolas" w:eastAsia="Consolas" w:hAnsi="Consolas"/>
          <w:color w:val="1B2733"/>
          <w:sz w:val="15"/>
          <w:szCs w:val="15"/>
        </w:rPr>
        <w:t xml:space="preserve">        title       = "exempt-sandbox"</w:t>
      </w:r>
    </w:p>
    <w:p>
      <w:pPr>
        <w:shd w:fill="F6F7F9" w:val="clear"/>
        <w:bidi w:val="false"/>
        <w:spacing w:after="0" w:before="0" w:line="210"/>
        <w:jc w:val="left"/>
      </w:pPr>
      <w:r>
        <w:rPr>
          <w:rFonts w:ascii="Consolas" w:cs="Consolas" w:eastAsia="Consolas" w:hAnsi="Consolas"/>
          <w:color w:val="1B2733"/>
          <w:sz w:val="15"/>
          <w:szCs w:val="15"/>
        </w:rPr>
        <w:t xml:space="preserve">        description = "Sandbox workloads, reviewed 2026-12-31"</w:t>
      </w:r>
    </w:p>
    <w:p>
      <w:pPr>
        <w:shd w:fill="F6F7F9" w:val="clear"/>
        <w:bidi w:val="false"/>
        <w:spacing w:after="0" w:before="0" w:line="210"/>
        <w:jc w:val="left"/>
      </w:pPr>
      <w:r>
        <w:rPr>
          <w:rFonts w:ascii="Consolas" w:cs="Consolas" w:eastAsia="Consolas" w:hAnsi="Consolas"/>
          <w:color w:val="1B2733"/>
          <w:sz w:val="15"/>
          <w:szCs w:val="15"/>
        </w:rPr>
        <w:t xml:space="preserve">        expression  = "resource.matchTag('${var.org_id}/environment', 'sandbox')"</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6A7B8C"/>
          <w:sz w:val="15"/>
          <w:szCs w:val="15"/>
        </w:rPr>
        <w:t xml:space="preserve">    # ברירת המחדל — אכיפה על כל השאר</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enforce = "TRUE"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140" w:before="0" w:line="210"/>
        <w:jc w:val="left"/>
      </w:pPr>
      <w:r>
        <w:rPr>
          <w:rFonts w:ascii="Consolas" w:cs="Consolas" w:eastAsia="Consolas" w:hAnsi="Consolas"/>
          <w:color w:val="1B2733"/>
          <w:sz w:val="15"/>
          <w:szCs w:val="15"/>
        </w:rPr>
        <w:t xml:space="preserve">}</w:t>
      </w:r>
    </w:p>
    <w:p>
      <w:pPr>
        <w:pStyle w:val="Heading3"/>
        <w:bidi/>
        <w:spacing w:after="100" w:before="260"/>
        <w:jc w:val="right"/>
      </w:pPr>
      <w:r>
        <w:rPr>
          <w:rFonts w:ascii="Arial" w:cs="Arial" w:eastAsia="Arial" w:hAnsi="Arial"/>
          <w:b/>
          <w:bCs/>
          <w:i w:val="false"/>
          <w:iCs w:val="false"/>
          <w:color w:val="2E5C8A"/>
          <w:sz w:val="23"/>
          <w:szCs w:val="23"/>
          <w:rtl/>
        </w:rPr>
        <w:t xml:space="preserve">ב.7  ניהול בייסליין בהיקף מלא</w:t>
      </w:r>
    </w:p>
    <w:p>
      <w:pPr>
        <w:bidi/>
        <w:spacing w:after="120" w:line="260"/>
        <w:jc w:val="right"/>
      </w:pPr>
      <w:r>
        <w:rPr>
          <w:rFonts w:ascii="Arial" w:cs="Arial" w:eastAsia="Arial" w:hAnsi="Arial"/>
          <w:b w:val="false"/>
          <w:bCs w:val="false"/>
          <w:i w:val="false"/>
          <w:iCs w:val="false"/>
          <w:sz w:val="19"/>
          <w:szCs w:val="19"/>
          <w:rtl/>
        </w:rPr>
        <w:t xml:space="preserve">התבנית המומלצת לאכיפת עשרות אילוצים בוליאניים: רשימה אחת ב־locals ולולאת for_each. הוספת אילוץ לבייסליין הופכת לשורה אחת בקוד.</w:t>
      </w:r>
    </w:p>
    <w:p>
      <w:pPr>
        <w:shd w:fill="F6F7F9" w:val="clear"/>
        <w:bidi w:val="false"/>
        <w:spacing w:after="0" w:before="60" w:line="210"/>
        <w:jc w:val="left"/>
      </w:pPr>
      <w:r>
        <w:rPr>
          <w:rFonts w:ascii="Consolas" w:cs="Consolas" w:eastAsia="Consolas" w:hAnsi="Consolas"/>
          <w:color w:val="1B2733"/>
          <w:sz w:val="15"/>
          <w:szCs w:val="15"/>
        </w:rPr>
        <w:t xml:space="preserve">locals {</w:t>
      </w:r>
    </w:p>
    <w:p>
      <w:pPr>
        <w:shd w:fill="F6F7F9" w:val="clear"/>
        <w:bidi w:val="false"/>
        <w:spacing w:after="0" w:before="0" w:line="210"/>
        <w:jc w:val="left"/>
      </w:pPr>
      <w:r>
        <w:rPr>
          <w:rFonts w:ascii="Consolas" w:cs="Consolas" w:eastAsia="Consolas" w:hAnsi="Consolas"/>
          <w:color w:val="1B2733"/>
          <w:sz w:val="15"/>
          <w:szCs w:val="15"/>
        </w:rPr>
        <w:t xml:space="preserve">  boolean_baseline = [</w:t>
      </w:r>
    </w:p>
    <w:p>
      <w:pPr>
        <w:shd w:fill="F6F7F9" w:val="clear"/>
        <w:bidi w:val="false"/>
        <w:spacing w:after="0" w:before="0" w:line="210"/>
        <w:jc w:val="left"/>
      </w:pPr>
      <w:r>
        <w:rPr>
          <w:rFonts w:ascii="Consolas" w:cs="Consolas" w:eastAsia="Consolas" w:hAnsi="Consolas"/>
          <w:color w:val="1B2733"/>
          <w:sz w:val="15"/>
          <w:szCs w:val="15"/>
        </w:rPr>
        <w:t xml:space="preserve">    "compute.requireShieldedVm",</w:t>
      </w:r>
    </w:p>
    <w:p>
      <w:pPr>
        <w:shd w:fill="F6F7F9" w:val="clear"/>
        <w:bidi w:val="false"/>
        <w:spacing w:after="0" w:before="0" w:line="210"/>
        <w:jc w:val="left"/>
      </w:pPr>
      <w:r>
        <w:rPr>
          <w:rFonts w:ascii="Consolas" w:cs="Consolas" w:eastAsia="Consolas" w:hAnsi="Consolas"/>
          <w:color w:val="1B2733"/>
          <w:sz w:val="15"/>
          <w:szCs w:val="15"/>
        </w:rPr>
        <w:t xml:space="preserve">    "compute.disableSerialPortAccess",</w:t>
      </w:r>
    </w:p>
    <w:p>
      <w:pPr>
        <w:shd w:fill="F6F7F9" w:val="clear"/>
        <w:bidi w:val="false"/>
        <w:spacing w:after="0" w:before="0" w:line="210"/>
        <w:jc w:val="left"/>
      </w:pPr>
      <w:r>
        <w:rPr>
          <w:rFonts w:ascii="Consolas" w:cs="Consolas" w:eastAsia="Consolas" w:hAnsi="Consolas"/>
          <w:color w:val="1B2733"/>
          <w:sz w:val="15"/>
          <w:szCs w:val="15"/>
        </w:rPr>
        <w:t xml:space="preserve">    "compute.skipDefaultNetworkCreation",</w:t>
      </w:r>
    </w:p>
    <w:p>
      <w:pPr>
        <w:shd w:fill="F6F7F9" w:val="clear"/>
        <w:bidi w:val="false"/>
        <w:spacing w:after="0" w:before="0" w:line="210"/>
        <w:jc w:val="left"/>
      </w:pPr>
      <w:r>
        <w:rPr>
          <w:rFonts w:ascii="Consolas" w:cs="Consolas" w:eastAsia="Consolas" w:hAnsi="Consolas"/>
          <w:color w:val="1B2733"/>
          <w:sz w:val="15"/>
          <w:szCs w:val="15"/>
        </w:rPr>
        <w:t xml:space="preserve">    "iam.managed.disableServiceAccountKeyUpload",</w:t>
      </w:r>
    </w:p>
    <w:p>
      <w:pPr>
        <w:shd w:fill="F6F7F9" w:val="clear"/>
        <w:bidi w:val="false"/>
        <w:spacing w:after="0" w:before="0" w:line="210"/>
        <w:jc w:val="left"/>
      </w:pPr>
      <w:r>
        <w:rPr>
          <w:rFonts w:ascii="Consolas" w:cs="Consolas" w:eastAsia="Consolas" w:hAnsi="Consolas"/>
          <w:color w:val="1B2733"/>
          <w:sz w:val="15"/>
          <w:szCs w:val="15"/>
        </w:rPr>
        <w:t xml:space="preserve">    "sql.restrictPublicIp",</w:t>
      </w:r>
    </w:p>
    <w:p>
      <w:pPr>
        <w:shd w:fill="F6F7F9" w:val="clear"/>
        <w:bidi w:val="false"/>
        <w:spacing w:after="0" w:before="0" w:line="210"/>
        <w:jc w:val="left"/>
      </w:pPr>
      <w:r>
        <w:rPr>
          <w:rFonts w:ascii="Consolas" w:cs="Consolas" w:eastAsia="Consolas" w:hAnsi="Consolas"/>
          <w:color w:val="1B2733"/>
          <w:sz w:val="15"/>
          <w:szCs w:val="15"/>
        </w:rPr>
        <w:t xml:space="preserve">    "storage.publicAccessPrevention",</w:t>
      </w:r>
    </w:p>
    <w:p>
      <w:pPr>
        <w:shd w:fill="F6F7F9" w:val="clear"/>
        <w:bidi w:val="false"/>
        <w:spacing w:after="0" w:before="0" w:line="210"/>
        <w:jc w:val="left"/>
      </w:pPr>
      <w:r>
        <w:rPr>
          <w:rFonts w:ascii="Consolas" w:cs="Consolas" w:eastAsia="Consolas" w:hAnsi="Consolas"/>
          <w:color w:val="1B2733"/>
          <w:sz w:val="15"/>
          <w:szCs w:val="15"/>
        </w:rPr>
        <w:t xml:space="preserve">    "storage.uniformBucketLevelAccess",</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resource "google_org_policy_policy" "boolean_baseline" {</w:t>
      </w:r>
    </w:p>
    <w:p>
      <w:pPr>
        <w:shd w:fill="F6F7F9" w:val="clear"/>
        <w:bidi w:val="false"/>
        <w:spacing w:after="0" w:before="0" w:line="210"/>
        <w:jc w:val="left"/>
      </w:pPr>
      <w:r>
        <w:rPr>
          <w:rFonts w:ascii="Consolas" w:cs="Consolas" w:eastAsia="Consolas" w:hAnsi="Consolas"/>
          <w:color w:val="1B2733"/>
          <w:sz w:val="15"/>
          <w:szCs w:val="15"/>
        </w:rPr>
        <w:t xml:space="preserve">  for_each = toset(local.boolean_baseline)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name   = "organizations/${var.org_id}/policies/${each.value}"</w:t>
      </w:r>
    </w:p>
    <w:p>
      <w:pPr>
        <w:shd w:fill="F6F7F9" w:val="clear"/>
        <w:bidi w:val="false"/>
        <w:spacing w:after="0" w:before="0" w:line="210"/>
        <w:jc w:val="left"/>
      </w:pPr>
      <w:r>
        <w:rPr>
          <w:rFonts w:ascii="Consolas" w:cs="Consolas" w:eastAsia="Consolas" w:hAnsi="Consolas"/>
          <w:color w:val="1B2733"/>
          <w:sz w:val="15"/>
          <w:szCs w:val="15"/>
        </w:rPr>
        <w:t xml:space="preserve">  parent = "organizations/${var.org_id}"</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spec {</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enforce = "TRUE"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140" w:before="0" w:line="210"/>
        <w:jc w:val="left"/>
      </w:pPr>
      <w:r>
        <w:rPr>
          <w:rFonts w:ascii="Consolas" w:cs="Consolas" w:eastAsia="Consolas" w:hAnsi="Consolas"/>
          <w:color w:val="1B2733"/>
          <w:sz w:val="15"/>
          <w:szCs w:val="15"/>
        </w:rPr>
        <w:t xml:space="preserve">}</w:t>
      </w:r>
    </w:p>
    <w:p>
      <w:pPr>
        <w:pStyle w:val="Heading3"/>
        <w:bidi/>
        <w:spacing w:after="100" w:before="260"/>
        <w:jc w:val="right"/>
      </w:pPr>
      <w:r>
        <w:rPr>
          <w:rFonts w:ascii="Arial" w:cs="Arial" w:eastAsia="Arial" w:hAnsi="Arial"/>
          <w:b/>
          <w:bCs/>
          <w:i w:val="false"/>
          <w:iCs w:val="false"/>
          <w:color w:val="2E5C8A"/>
          <w:sz w:val="23"/>
          <w:szCs w:val="23"/>
          <w:rtl/>
        </w:rPr>
        <w:t xml:space="preserve">ב.8  אילוץ מותאם אישית</w:t>
      </w:r>
    </w:p>
    <w:p>
      <w:pPr>
        <w:bidi/>
        <w:spacing w:after="120" w:line="260"/>
        <w:jc w:val="right"/>
      </w:pPr>
      <w:r>
        <w:rPr>
          <w:rFonts w:ascii="Arial" w:cs="Arial" w:eastAsia="Arial" w:hAnsi="Arial"/>
          <w:b w:val="false"/>
          <w:bCs w:val="false"/>
          <w:i w:val="false"/>
          <w:iCs w:val="false"/>
          <w:sz w:val="19"/>
          <w:szCs w:val="19"/>
          <w:rtl/>
        </w:rPr>
        <w:t xml:space="preserve">אילוץ מותאם מוגדר כמשאב נפרד, ולאחר מכן נאכף באמצעות מדיניות רגילה המפנה אליו בשם custom.&lt;name&gt;.</w:t>
      </w:r>
    </w:p>
    <w:p>
      <w:pPr>
        <w:shd w:fill="F6F7F9" w:val="clear"/>
        <w:bidi w:val="false"/>
        <w:spacing w:after="0" w:before="60" w:line="210"/>
        <w:jc w:val="left"/>
      </w:pPr>
      <w:r>
        <w:rPr>
          <w:rFonts w:ascii="Consolas" w:cs="Consolas" w:eastAsia="Consolas" w:hAnsi="Consolas"/>
          <w:color w:val="1B2733"/>
          <w:sz w:val="15"/>
          <w:szCs w:val="15"/>
        </w:rPr>
        <w:t xml:space="preserve">resource "google_org_policy_custom_constraint" "require_cost_center" {</w:t>
      </w:r>
    </w:p>
    <w:p>
      <w:pPr>
        <w:shd w:fill="F6F7F9" w:val="clear"/>
        <w:bidi w:val="false"/>
        <w:spacing w:after="0" w:before="0" w:line="210"/>
        <w:jc w:val="left"/>
      </w:pPr>
      <w:r>
        <w:rPr>
          <w:rFonts w:ascii="Consolas" w:cs="Consolas" w:eastAsia="Consolas" w:hAnsi="Consolas"/>
          <w:color w:val="1B2733"/>
          <w:sz w:val="15"/>
          <w:szCs w:val="15"/>
        </w:rPr>
        <w:t xml:space="preserve">  name         = "custom.requireCostCenterLabel"</w:t>
      </w:r>
    </w:p>
    <w:p>
      <w:pPr>
        <w:shd w:fill="F6F7F9" w:val="clear"/>
        <w:bidi w:val="false"/>
        <w:spacing w:after="0" w:before="0" w:line="210"/>
        <w:jc w:val="left"/>
      </w:pPr>
      <w:r>
        <w:rPr>
          <w:rFonts w:ascii="Consolas" w:cs="Consolas" w:eastAsia="Consolas" w:hAnsi="Consolas"/>
          <w:color w:val="1B2733"/>
          <w:sz w:val="15"/>
          <w:szCs w:val="15"/>
        </w:rPr>
        <w:t xml:space="preserve">  parent       = "organizations/${var.org_id}"</w:t>
      </w:r>
    </w:p>
    <w:p>
      <w:pPr>
        <w:shd w:fill="F6F7F9" w:val="clear"/>
        <w:bidi w:val="false"/>
        <w:spacing w:after="0" w:before="0" w:line="210"/>
        <w:jc w:val="left"/>
      </w:pPr>
      <w:r>
        <w:rPr>
          <w:rFonts w:ascii="Consolas" w:cs="Consolas" w:eastAsia="Consolas" w:hAnsi="Consolas"/>
          <w:color w:val="1B2733"/>
          <w:sz w:val="15"/>
          <w:szCs w:val="15"/>
        </w:rPr>
        <w:t xml:space="preserve">  display_name = "Require cost-center label"</w:t>
      </w:r>
    </w:p>
    <w:p>
      <w:pPr>
        <w:shd w:fill="F6F7F9" w:val="clear"/>
        <w:bidi w:val="false"/>
        <w:spacing w:after="0" w:before="0" w:line="210"/>
        <w:jc w:val="left"/>
      </w:pPr>
      <w:r>
        <w:rPr>
          <w:rFonts w:ascii="Consolas" w:cs="Consolas" w:eastAsia="Consolas" w:hAnsi="Consolas"/>
          <w:color w:val="1B2733"/>
          <w:sz w:val="15"/>
          <w:szCs w:val="15"/>
        </w:rPr>
        <w:t xml:space="preserve">  description  = "Every new bucket must carry a cost-center label"</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action_type    = "DENY"</w:t>
      </w:r>
    </w:p>
    <w:p>
      <w:pPr>
        <w:shd w:fill="F6F7F9" w:val="clear"/>
        <w:bidi w:val="false"/>
        <w:spacing w:after="0" w:before="0" w:line="210"/>
        <w:jc w:val="left"/>
      </w:pPr>
      <w:r>
        <w:rPr>
          <w:rFonts w:ascii="Consolas" w:cs="Consolas" w:eastAsia="Consolas" w:hAnsi="Consolas"/>
          <w:color w:val="1B2733"/>
          <w:sz w:val="15"/>
          <w:szCs w:val="15"/>
        </w:rPr>
        <w:t xml:space="preserve">  condition      = "!has(resource.labels['cost-center'])"</w:t>
      </w:r>
    </w:p>
    <w:p>
      <w:pPr>
        <w:shd w:fill="F6F7F9" w:val="clear"/>
        <w:bidi w:val="false"/>
        <w:spacing w:after="0" w:before="0" w:line="210"/>
        <w:jc w:val="left"/>
      </w:pPr>
      <w:r>
        <w:rPr>
          <w:rFonts w:ascii="Consolas" w:cs="Consolas" w:eastAsia="Consolas" w:hAnsi="Consolas"/>
          <w:color w:val="1B2733"/>
          <w:sz w:val="15"/>
          <w:szCs w:val="15"/>
        </w:rPr>
        <w:t xml:space="preserve">  method_types   = ["CREATE", "UPDATE"]</w:t>
      </w:r>
    </w:p>
    <w:p>
      <w:pPr>
        <w:shd w:fill="F6F7F9" w:val="clear"/>
        <w:bidi w:val="false"/>
        <w:spacing w:after="0" w:before="0" w:line="210"/>
        <w:jc w:val="left"/>
      </w:pPr>
      <w:r>
        <w:rPr>
          <w:rFonts w:ascii="Consolas" w:cs="Consolas" w:eastAsia="Consolas" w:hAnsi="Consolas"/>
          <w:color w:val="1B2733"/>
          <w:sz w:val="15"/>
          <w:szCs w:val="15"/>
        </w:rPr>
        <w:t xml:space="preserve">  resource_types = ["storage.googleapis.com/Bucket"]</w:t>
      </w:r>
    </w:p>
    <w:p>
      <w:pPr>
        <w:shd w:fill="F6F7F9" w:val="clear"/>
        <w:bidi w:val="false"/>
        <w:spacing w:after="0" w:before="0" w:line="210"/>
        <w:jc w:val="left"/>
      </w:pPr>
      <w:r>
        <w:rPr>
          <w:rFonts w:ascii="Consolas" w:cs="Consolas" w:eastAsia="Consolas" w:hAnsi="Consolas"/>
          <w:color w:val="1B2733"/>
          <w:sz w:val="15"/>
          <w:szCs w:val="15"/>
        </w:rPr>
        <w:t xml:space="preserv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resource "google_org_policy_policy" "require_cost_center" {</w:t>
      </w:r>
    </w:p>
    <w:p>
      <w:pPr>
        <w:shd w:fill="F6F7F9" w:val="clear"/>
        <w:bidi w:val="false"/>
        <w:spacing w:after="0" w:before="0" w:line="210"/>
        <w:jc w:val="left"/>
      </w:pPr>
      <w:r>
        <w:rPr>
          <w:rFonts w:ascii="Consolas" w:cs="Consolas" w:eastAsia="Consolas" w:hAnsi="Consolas"/>
          <w:color w:val="1B2733"/>
          <w:sz w:val="15"/>
          <w:szCs w:val="15"/>
        </w:rPr>
        <w:t xml:space="preserve">  name   = "organizations/${var.org_id}/policies/${google_org_policy_custom_constraint.require_cost_center.name}"</w:t>
      </w:r>
    </w:p>
    <w:p>
      <w:pPr>
        <w:shd w:fill="F6F7F9" w:val="clear"/>
        <w:bidi w:val="false"/>
        <w:spacing w:after="0" w:before="0" w:line="210"/>
        <w:jc w:val="left"/>
      </w:pPr>
      <w:r>
        <w:rPr>
          <w:rFonts w:ascii="Consolas" w:cs="Consolas" w:eastAsia="Consolas" w:hAnsi="Consolas"/>
          <w:color w:val="1B2733"/>
          <w:sz w:val="15"/>
          <w:szCs w:val="15"/>
        </w:rPr>
        <w:t xml:space="preserve">  parent = "organizations/${var.org_id}"</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spec {</w:t>
      </w:r>
    </w:p>
    <w:p>
      <w:pPr>
        <w:shd w:fill="F6F7F9" w:val="clear"/>
        <w:bidi w:val="false"/>
        <w:spacing w:after="0" w:before="0" w:line="210"/>
        <w:jc w:val="left"/>
      </w:pPr>
      <w:r>
        <w:rPr>
          <w:rFonts w:ascii="Consolas" w:cs="Consolas" w:eastAsia="Consolas" w:hAnsi="Consolas"/>
          <w:color w:val="1B2733"/>
          <w:sz w:val="15"/>
          <w:szCs w:val="15"/>
        </w:rPr>
        <w:t xml:space="preserve">    rules {</w:t>
      </w:r>
    </w:p>
    <w:p>
      <w:pPr>
        <w:shd w:fill="F6F7F9" w:val="clear"/>
        <w:bidi w:val="false"/>
        <w:spacing w:after="0" w:before="0" w:line="210"/>
        <w:jc w:val="left"/>
      </w:pPr>
      <w:r>
        <w:rPr>
          <w:rFonts w:ascii="Consolas" w:cs="Consolas" w:eastAsia="Consolas" w:hAnsi="Consolas"/>
          <w:color w:val="1B2733"/>
          <w:sz w:val="15"/>
          <w:szCs w:val="15"/>
        </w:rPr>
        <w:t xml:space="preserve">      enforce = "TRUE"</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0" w:before="0" w:line="210"/>
        <w:jc w:val="left"/>
      </w:pPr>
      <w:r>
        <w:rPr>
          <w:rFonts w:ascii="Consolas" w:cs="Consolas" w:eastAsia="Consolas" w:hAnsi="Consolas"/>
          <w:color w:val="1B2733"/>
          <w:sz w:val="15"/>
          <w:szCs w:val="15"/>
        </w:rPr>
        <w:t xml:space="preserve">  }</w:t>
      </w:r>
    </w:p>
    <w:p>
      <w:pPr>
        <w:shd w:fill="F6F7F9" w:val="clear"/>
        <w:bidi w:val="false"/>
        <w:spacing w:after="140" w:before="0" w:line="210"/>
        <w:jc w:val="left"/>
      </w:pPr>
      <w:r>
        <w:rPr>
          <w:rFonts w:ascii="Consolas" w:cs="Consolas" w:eastAsia="Consolas" w:hAnsi="Consolas"/>
          <w:color w:val="1B2733"/>
          <w:sz w:val="15"/>
          <w:szCs w:val="15"/>
        </w:rPr>
        <w:t xml:space="preserve">}</w:t>
      </w:r>
    </w:p>
    <w:p>
      <w:pPr>
        <w:pStyle w:val="Heading2"/>
        <w:bidi/>
        <w:spacing w:after="140" w:before="320"/>
        <w:jc w:val="right"/>
      </w:pPr>
      <w:r>
        <w:rPr>
          <w:rFonts w:ascii="Arial" w:cs="Arial" w:eastAsia="Arial" w:hAnsi="Arial"/>
          <w:b/>
          <w:bCs/>
          <w:i w:val="false"/>
          <w:iCs w:val="false"/>
          <w:color w:val="1F3864"/>
          <w:sz w:val="26"/>
          <w:szCs w:val="26"/>
          <w:rtl/>
        </w:rPr>
        <w:t xml:space="preserve">נספח ג' — סדר יישום מומלץ</w:t>
      </w:r>
    </w:p>
    <w:p>
      <w:pPr>
        <w:bidi/>
        <w:spacing w:after="120" w:line="260"/>
        <w:jc w:val="right"/>
      </w:pPr>
      <w:r>
        <w:rPr>
          <w:rFonts w:ascii="Arial" w:cs="Arial" w:eastAsia="Arial" w:hAnsi="Arial"/>
          <w:b w:val="false"/>
          <w:bCs w:val="false"/>
          <w:i w:val="false"/>
          <w:iCs w:val="false"/>
          <w:sz w:val="20"/>
          <w:szCs w:val="20"/>
          <w:rtl/>
        </w:rPr>
        <w:t xml:space="preserve">אכיפה גורפת של כלל האילוצים בבת אחת תשבור סביבות קיימות. סדר היישום המומלץ:</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שלב 1 — מיפוי: הפקת רשימת האילוצים הפעילים והמדיניות האפקטיבית בכל תיקייה, מול הבייסליין המוגדר במסמך זה.</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שלב 2 — Dry-run: החלת כל אילוץ חדש במצב הרצה יבשה למשך שבועיים לפחות, ואיסוף הפרות מ־Cloud Audit Logs (חיפוש לפי orgPolicyViolationInfo).</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שלב 3 — טיפול בחריגים: לכל הפרה — תיקון המשאב, או הגדרת חריג מבוסס tag עם בעלים ותאריך תפוגה. אין להשאיר חריגים ללא מועד בחינה מחדש.</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שלב 4 — אכיפה מדורגת: תיקיית Sandbox ← Dev ← Staging ← Prod. אכיפה ברמת הארגון רק לאילוצים שאין להם חריגים לגיטימיים כלל.</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שלב 5 — ניטור סחיפה: התראה על כל שינוי במדיניות ארגונית (SetOrgPolicy / DeleteOrgPolicy) ב־Cloud Audit Logs, כולל ביטול אילוצי ה־Security Baseline.</w:t>
      </w:r>
    </w:p>
    <w:p>
      <w:pPr>
        <w:pStyle w:val="ListParagraph"/>
        <w:numPr>
          <w:ilvl w:val="0"/>
          <w:numId w:val="2"/>
        </w:numPr>
        <w:bidi/>
        <w:spacing w:after="60" w:line="260"/>
        <w:jc w:val="right"/>
      </w:pPr>
      <w:r>
        <w:rPr>
          <w:rFonts w:ascii="Arial" w:cs="Arial" w:eastAsia="Arial" w:hAnsi="Arial"/>
          <w:b w:val="false"/>
          <w:bCs w:val="false"/>
          <w:i w:val="false"/>
          <w:iCs w:val="false"/>
          <w:sz w:val="20"/>
          <w:szCs w:val="20"/>
          <w:rtl/>
        </w:rPr>
        <w:t xml:space="preserve">שלב 6 — בחינה תקופתית: סקירה רבעונית של אילוצים חדשים שפרסמה Google, ושל תוקף החריגים הפעילים.</w:t>
      </w:r>
    </w:p>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0D0" w:sz="4"/>
      </w:pBdr>
      <w:bidi/>
      <w:spacing w:after="60"/>
      <w:jc w:val="right"/>
    </w:pPr>
    <w:r>
      <w:rPr>
        <w:rFonts w:ascii="Arial" w:cs="Arial" w:eastAsia="Arial" w:hAnsi="Arial"/>
        <w:b w:val="false"/>
        <w:bCs w:val="false"/>
        <w:i w:val="false"/>
        <w:iCs w:val="false"/>
        <w:color w:val="666666"/>
        <w:sz w:val="16"/>
        <w:szCs w:val="16"/>
        <w:rtl/>
      </w:rPr>
      <w:t xml:space="preserve">מדיניות ארגונית ב־Google Cloud — רשימת אילוצים מלאה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587d9e724bc5682715d3eda95e1793c51dcdce.png"/><Relationship Id="rId10" Type="http://schemas.openxmlformats.org/officeDocument/2006/relationships/image" Target="media/68d7351295a09306cb2682d822512bb72e4efc2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2026-07-29T11:07:27.491Z</dcterms:created>
  <dcterms:modified xsi:type="dcterms:W3CDTF">2026-07-29T11:07:27.491Z</dcterms:modified>
</cp:coreProperties>
</file>

<file path=docProps/custom.xml><?xml version="1.0" encoding="utf-8"?>
<Properties xmlns="http://schemas.openxmlformats.org/officeDocument/2006/custom-properties" xmlns:vt="http://schemas.openxmlformats.org/officeDocument/2006/docPropsVTypes"/>
</file>