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600"/>
        <w:jc w:val="center"/>
      </w:pPr>
      <w:r>
        <w:rPr>
          <w:rFonts w:ascii="Arial" w:cs="Arial" w:eastAsia="Arial" w:hAnsi="Arial"/>
          <w:b/>
          <w:bCs/>
          <w:i w:val="false"/>
          <w:iCs w:val="false"/>
          <w:color w:val="1F3864"/>
          <w:sz w:val="42"/>
          <w:szCs w:val="42"/>
          <w:rtl/>
        </w:rPr>
        <w:t xml:space="preserve">מדיניות הגנה וארכיטקטורת יעד ל‑OCI בענן הציבורי</w:t>
      </w:r>
    </w:p>
    <w:p>
      <w:pPr>
        <w:bidi/>
        <w:spacing w:after="200" w:before="60"/>
        <w:jc w:val="right"/>
      </w:pPr>
      <w:r>
        <w:rPr>
          <w:rFonts w:ascii="Arial" w:cs="Arial" w:eastAsia="Arial" w:hAnsi="Arial"/>
          <w:b w:val="false"/>
          <w:bCs w:val="false"/>
          <w:i w:val="false"/>
          <w:iCs w:val="false"/>
          <w:color w:val="404040"/>
          <w:sz w:val="21"/>
          <w:szCs w:val="21"/>
          <w:rtl/>
        </w:rPr>
        <w:t xml:space="preserve">מסמך מסגרת ארגוני מקצה לקצה עבור הקמה, הפעלה והגנה של Oracle Cloud Infrastructure (OCI), בהסתמך על עקרונות ה‑OCI Core Landing Zone, מודולי OCI Landing Zones, ובמבנה מתודולוגי המותאם למסמכי מדיניות הגנה ארגוניים.</w:t>
      </w:r>
    </w:p>
    <w:p>
      <w:pPr>
        <w:bidi/>
        <w:spacing w:after="20" w:before="40"/>
        <w:jc w:val="right"/>
      </w:pPr>
      <w:r>
        <w:rPr>
          <w:rFonts w:ascii="Arial" w:cs="Arial" w:eastAsia="Arial" w:hAnsi="Arial"/>
          <w:b/>
          <w:bCs/>
          <w:i w:val="false"/>
          <w:iCs w:val="false"/>
          <w:color w:val="2E5597"/>
          <w:sz w:val="22"/>
          <w:szCs w:val="22"/>
          <w:rtl/>
        </w:rPr>
        <w:t xml:space="preserve">גרסה: 1.0</w:t>
      </w:r>
    </w:p>
    <w:p>
      <w:pPr>
        <w:bidi/>
        <w:spacing w:after="160"/>
        <w:jc w:val="right"/>
      </w:pPr>
      <w:r>
        <w:rPr>
          <w:rFonts w:ascii="Arial" w:cs="Arial" w:eastAsia="Arial" w:hAnsi="Arial"/>
          <w:b/>
          <w:bCs/>
          <w:i w:val="false"/>
          <w:iCs w:val="false"/>
          <w:color w:val="2E5597"/>
          <w:sz w:val="22"/>
          <w:szCs w:val="22"/>
          <w:rtl/>
        </w:rPr>
        <w:t xml:space="preserve">סיווג: Internal / Confidential</w:t>
      </w:r>
    </w:p>
    <w:p>
      <w:pPr>
        <w:bidi/>
        <w:spacing w:after="200" w:before="0" w:line="276"/>
        <w:jc w:val="right"/>
      </w:pPr>
      <w:r>
        <w:rPr>
          <w:rFonts w:ascii="Arial" w:cs="Arial" w:eastAsia="Arial" w:hAnsi="Arial"/>
          <w:b w:val="false"/>
          <w:bCs w:val="false"/>
          <w:i w:val="false"/>
          <w:iCs w:val="false"/>
          <w:sz w:val="22"/>
          <w:szCs w:val="22"/>
          <w:rtl/>
        </w:rPr>
        <w:t xml:space="preserve">מטרה: יצירת בסיס אחיד, מנוהל, מאובטח וניתן לאכיפה עבור זהויות, רשת, עומסים, הצפנה, ניטור, תגובה לאירועים וממשל.</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864" w:sz="36"/>
              <w:bottom w:val="none" w:color="FFFFFF" w:sz="0"/>
              <w:right w:val="none" w:color="FFFFFF" w:sz="0"/>
            </w:tcBorders>
            <w:shd w:fill="E7ECF5" w:val="clear"/>
            <w:tcMar>
              <w:top w:type="dxa" w:w="120"/>
              <w:left w:type="dxa" w:w="160"/>
              <w:bottom w:type="dxa" w:w="120"/>
              <w:right w:type="dxa" w:w="160"/>
            </w:tcMar>
          </w:tcPr>
          <w:p>
            <w:pPr>
              <w:bidi/>
              <w:spacing w:line="276"/>
              <w:jc w:val="right"/>
            </w:pPr>
            <w:r>
              <w:rPr>
                <w:rFonts w:ascii="Arial" w:cs="Arial" w:eastAsia="Arial" w:hAnsi="Arial"/>
                <w:b/>
                <w:bCs/>
                <w:i w:val="false"/>
                <w:iCs w:val="false"/>
                <w:color w:val="1F3864"/>
                <w:sz w:val="21"/>
                <w:szCs w:val="21"/>
                <w:rtl/>
              </w:rPr>
              <w:t xml:space="preserve">עיקרי ההמלצה:</w:t>
            </w:r>
            <w:r>
              <w:rPr>
                <w:rFonts w:ascii="Arial" w:cs="Arial" w:eastAsia="Arial" w:hAnsi="Arial"/>
                <w:b w:val="false"/>
                <w:bCs w:val="false"/>
                <w:i w:val="false"/>
                <w:iCs w:val="false"/>
                <w:color w:val="404040"/>
                <w:sz w:val="21"/>
                <w:szCs w:val="21"/>
                <w:rtl/>
              </w:rPr>
              <w:t xml:space="preserve"> לאמץ Landing Zone מרכזי מבוסס Terraform; לנהל את ה‑Tenancy בהיררכיית Compartments; לאכוף Private‑by‑Default, SSO+MFA, Bastion במקום SSH ישיר, Cloud Guard ו‑Security Zones ברמת ה‑Tenancy, Vault עם CMK לנתונים רגישים, VSS לעומסים, והזרמת לוגים/אירועים ל‑SIEM באמצעות Logging, Events, Service Connector ו‑Streams.</w:t>
            </w:r>
          </w:p>
        </w:tc>
      </w:tr>
    </w:tbl>
    <w:p>
      <w:r>
        <w:br w:type="page"/>
      </w:r>
    </w:p>
    <w:p>
      <w:pPr>
        <w:pStyle w:val="Heading1"/>
        <w:bidi/>
        <w:jc w:val="right"/>
      </w:pPr>
      <w:r>
        <w:rPr>
          <w:rFonts w:ascii="Arial" w:cs="Arial" w:eastAsia="Arial" w:hAnsi="Arial"/>
          <w:b/>
          <w:bCs/>
          <w:i w:val="false"/>
          <w:iCs w:val="false"/>
          <w:color w:val="1F3864"/>
          <w:sz w:val="22"/>
          <w:szCs w:val="22"/>
          <w:rtl/>
        </w:rPr>
        <w:t xml:space="preserve">תוכן עניינים</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מטרה, היקף והנחות יסוד</w:t>
      </w:r>
    </w:p>
    <w:p>
      <w:pPr>
        <w:bidi/>
        <w:spacing w:after="110" w:before="0" w:line="276"/>
        <w:ind w:right="0"/>
        <w:jc w:val="right"/>
      </w:pPr>
      <w:r>
        <w:rPr>
          <w:rFonts w:ascii="Arial" w:cs="Arial" w:eastAsia="Arial" w:hAnsi="Arial"/>
          <w:b w:val="false"/>
          <w:bCs w:val="false"/>
          <w:i w:val="false"/>
          <w:iCs w:val="false"/>
          <w:sz w:val="22"/>
          <w:szCs w:val="22"/>
          <w:rtl/>
        </w:rPr>
        <w:t xml:space="preserve">מסמך זה מגדיר מדיניות הגנה וארכיטקטורת יעד לסביבת OCI בענן הציבורי. המדיניות חלה על כלל המשאבים, השירותים, המשתמשים, חשבונות השירות, ספקי צד שלישי, תהליכי DevSecOps וממשקי SaaS המחוברים ל‑OCI.</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המדיניות חלה על Compute, Storage, Networking, Databases, OKE/Kubernetes, Vault, Logging, Monitoring, Cloud Guard, Security Zones, Bastion, Vulnerability Scanning, Tags, Budgets ו‑Service Connectors.</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המסמך נועד לשמש כמדיניות‑על וכבסיס לנספחים טכניים: סטנדרט IAM, סטנדרט רשת, סטנדרט הצפנה, Baseline לעומסים, ו‑IR Playbooks.</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כאשר קיימת סתירה בין נוחות תפעולית לבין דרישת אבטחה, ברירת המחדל תהיה עקרונות Zero Trust, Least Privilege ו‑Private‑by‑Default.</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בסיס נורמטיבי ועקרונות תכנון</w:t>
      </w:r>
    </w:p>
    <w:p>
      <w:pPr>
        <w:bidi/>
        <w:spacing w:after="110" w:before="0" w:line="276"/>
        <w:ind w:right="0"/>
        <w:jc w:val="right"/>
      </w:pPr>
      <w:r>
        <w:rPr>
          <w:rFonts w:ascii="Arial" w:cs="Arial" w:eastAsia="Arial" w:hAnsi="Arial"/>
          <w:b w:val="false"/>
          <w:bCs w:val="false"/>
          <w:i w:val="false"/>
          <w:iCs w:val="false"/>
          <w:sz w:val="22"/>
          <w:szCs w:val="22"/>
          <w:rtl/>
        </w:rPr>
        <w:t xml:space="preserve">הבסיס הארגוני ייגזר מ‑OCI Core Landing Zone, ממודולי OCI Landing Zones ומהתצורה המיישרת קו עם CIS OCI Foundations Benchmark. מטרת הבסיס היא להאיץ הקמה של Tenancy מאובטח, סטנדרטי וניתן להרחבה.</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הקמה באמצעות Infrastructure as Code בלבד; ללא יצירה ידנית של רכיבי ליבה.</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מודל אחריות משותפת: Oracle אחראית לשכבות התשתית המנוהלות, והארגון אחראי על זהויות, הרשאות, נתונים, תצורות, ניטור, תגובה לעבירות ותאימות.</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הפרדת תפקידים מלאה בין צוות פלטפורמה, רשת, IAM, אבטחת מידע, SOC וצוותי אפליקציה.</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תיעוד, תיוג, ניטור, התרעה ויכולת חקירה הם חלק מה‑Definition of Done של כל שירות.</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ארכיטקטורת יעד – מבט על</w:t>
      </w:r>
    </w:p>
    <w:p>
      <w:pPr>
        <w:bidi/>
        <w:spacing w:after="110" w:before="0" w:line="276"/>
        <w:ind w:right="0"/>
        <w:jc w:val="right"/>
      </w:pPr>
      <w:r>
        <w:rPr>
          <w:rFonts w:ascii="Arial" w:cs="Arial" w:eastAsia="Arial" w:hAnsi="Arial"/>
          <w:b w:val="false"/>
          <w:bCs w:val="false"/>
          <w:i w:val="false"/>
          <w:iCs w:val="false"/>
          <w:sz w:val="22"/>
          <w:szCs w:val="22"/>
          <w:rtl/>
        </w:rPr>
        <w:t xml:space="preserve">הארכיטקטורה המומלצת היא Landing Zone מרכזי עם Tenancy יחיד ברוב המקרים, היררכיית Compartments, ורשת במודל Hub‑and‑Spoke או DMZ לפי צורך. לכל סביבת עבודה יהיה מרחב ניהול ברור, גבולות הרשאה מוגדרים, ורכיבי אבטחה וניטור משותפים המופעלים ברמת ה‑Tenancy.</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שכבות הארכיטקטורה</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2780"/>
        <w:gridCol w:w="1900"/>
      </w:tblGrid>
      <w:tr>
        <w:trPr>
          <w:tblHeader/>
        </w:trPr>
        <w:tc>
          <w:tcPr>
            <w:tcW w:type="dxa" w:w="1700"/>
            <w:shd w:fill="1F3864" w:val="clear"/>
            <w:tcMar>
              <w:top w:type="dxa" w:w="60"/>
              <w:left w:type="dxa" w:w="100"/>
              <w:bottom w:type="dxa" w:w="60"/>
              <w:right w:type="dxa" w:w="100"/>
            </w:tcMar>
          </w:tcPr>
          <w:p>
            <w:pPr>
              <w:bidi/>
              <w:jc w:val="right"/>
            </w:pPr>
            <w:r>
              <w:rPr>
                <w:rFonts w:ascii="Arial" w:cs="Arial" w:eastAsia="Arial" w:hAnsi="Arial"/>
                <w:b/>
                <w:bCs/>
                <w:i w:val="false"/>
                <w:iCs w:val="false"/>
                <w:color w:val="FFFFFF"/>
                <w:sz w:val="20"/>
                <w:szCs w:val="20"/>
                <w:rtl/>
              </w:rPr>
              <w:t xml:space="preserve">שכבה</w:t>
            </w:r>
          </w:p>
        </w:tc>
        <w:tc>
          <w:tcPr>
            <w:tcW w:type="dxa" w:w="3700"/>
            <w:shd w:fill="1F3864" w:val="clear"/>
            <w:tcMar>
              <w:top w:type="dxa" w:w="60"/>
              <w:left w:type="dxa" w:w="100"/>
              <w:bottom w:type="dxa" w:w="60"/>
              <w:right w:type="dxa" w:w="100"/>
            </w:tcMar>
          </w:tcPr>
          <w:p>
            <w:pPr>
              <w:bidi/>
              <w:jc w:val="right"/>
            </w:pPr>
            <w:r>
              <w:rPr>
                <w:rFonts w:ascii="Arial" w:cs="Arial" w:eastAsia="Arial" w:hAnsi="Arial"/>
                <w:b/>
                <w:bCs/>
                <w:i w:val="false"/>
                <w:iCs w:val="false"/>
                <w:color w:val="FFFFFF"/>
                <w:sz w:val="20"/>
                <w:szCs w:val="20"/>
                <w:rtl/>
              </w:rPr>
              <w:t xml:space="preserve">רכיבים עיקריים</w:t>
            </w:r>
          </w:p>
        </w:tc>
        <w:tc>
          <w:tcPr>
            <w:tcW w:type="dxa" w:w="2780"/>
            <w:shd w:fill="1F3864" w:val="clear"/>
            <w:tcMar>
              <w:top w:type="dxa" w:w="60"/>
              <w:left w:type="dxa" w:w="100"/>
              <w:bottom w:type="dxa" w:w="60"/>
              <w:right w:type="dxa" w:w="100"/>
            </w:tcMar>
          </w:tcPr>
          <w:p>
            <w:pPr>
              <w:bidi/>
              <w:jc w:val="right"/>
            </w:pPr>
            <w:r>
              <w:rPr>
                <w:rFonts w:ascii="Arial" w:cs="Arial" w:eastAsia="Arial" w:hAnsi="Arial"/>
                <w:b/>
                <w:bCs/>
                <w:i w:val="false"/>
                <w:iCs w:val="false"/>
                <w:color w:val="FFFFFF"/>
                <w:sz w:val="20"/>
                <w:szCs w:val="20"/>
                <w:rtl/>
              </w:rPr>
              <w:t xml:space="preserve">מטרה</w:t>
            </w:r>
          </w:p>
        </w:tc>
        <w:tc>
          <w:tcPr>
            <w:tcW w:type="dxa" w:w="1900"/>
            <w:shd w:fill="1F3864" w:val="clear"/>
            <w:tcMar>
              <w:top w:type="dxa" w:w="60"/>
              <w:left w:type="dxa" w:w="100"/>
              <w:bottom w:type="dxa" w:w="60"/>
              <w:right w:type="dxa" w:w="100"/>
            </w:tcMar>
          </w:tcPr>
          <w:p>
            <w:pPr>
              <w:bidi/>
              <w:jc w:val="right"/>
            </w:pPr>
            <w:r>
              <w:rPr>
                <w:rFonts w:ascii="Arial" w:cs="Arial" w:eastAsia="Arial" w:hAnsi="Arial"/>
                <w:b/>
                <w:bCs/>
                <w:i w:val="false"/>
                <w:iCs w:val="false"/>
                <w:color w:val="FFFFFF"/>
                <w:sz w:val="20"/>
                <w:szCs w:val="20"/>
                <w:rtl/>
              </w:rPr>
              <w:t xml:space="preserve">בעלות מועדפת</w:t>
            </w:r>
          </w:p>
        </w:tc>
      </w:tr>
      <w:tr>
        <w:tc>
          <w:tcPr>
            <w:tcW w:type="dxa" w:w="170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Governance</w:t>
            </w:r>
          </w:p>
        </w:tc>
        <w:tc>
          <w:tcPr>
            <w:tcW w:type="dxa" w:w="370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Compartments, Tags, Tag Defaults, Budgets</w:t>
            </w:r>
          </w:p>
        </w:tc>
        <w:tc>
          <w:tcPr>
            <w:tcW w:type="dxa" w:w="278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ממשל, סיווג, עלות ואכיפה ארגונית</w:t>
            </w:r>
          </w:p>
        </w:tc>
        <w:tc>
          <w:tcPr>
            <w:tcW w:type="dxa" w:w="190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Platform / Governance</w:t>
            </w:r>
          </w:p>
        </w:tc>
      </w:tr>
      <w:tr>
        <w:tc>
          <w:tcPr>
            <w:tcW w:type="dxa" w:w="170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Identity</w:t>
            </w:r>
          </w:p>
        </w:tc>
        <w:tc>
          <w:tcPr>
            <w:tcW w:type="dxa" w:w="370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SSO, MFA, Groups, Policies, Dynamic Groups</w:t>
            </w:r>
          </w:p>
        </w:tc>
        <w:tc>
          <w:tcPr>
            <w:tcW w:type="dxa" w:w="278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זהויות והרשאות</w:t>
            </w:r>
          </w:p>
        </w:tc>
        <w:tc>
          <w:tcPr>
            <w:tcW w:type="dxa" w:w="190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IAM / Security</w:t>
            </w:r>
          </w:p>
        </w:tc>
      </w:tr>
      <w:tr>
        <w:tc>
          <w:tcPr>
            <w:tcW w:type="dxa" w:w="170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Network</w:t>
            </w:r>
          </w:p>
        </w:tc>
        <w:tc>
          <w:tcPr>
            <w:tcW w:type="dxa" w:w="370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VCN, DRG, NSG, Route Tables, Service Gateway, Private Endpoints</w:t>
            </w:r>
          </w:p>
        </w:tc>
        <w:tc>
          <w:tcPr>
            <w:tcW w:type="dxa" w:w="278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Segmentation וחיבוריות פרטית</w:t>
            </w:r>
          </w:p>
        </w:tc>
        <w:tc>
          <w:tcPr>
            <w:tcW w:type="dxa" w:w="190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Network / Platform</w:t>
            </w:r>
          </w:p>
        </w:tc>
      </w:tr>
      <w:tr>
        <w:tc>
          <w:tcPr>
            <w:tcW w:type="dxa" w:w="170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Security</w:t>
            </w:r>
          </w:p>
        </w:tc>
        <w:tc>
          <w:tcPr>
            <w:tcW w:type="dxa" w:w="370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Bastion, Cloud Guard, Security Zones, Vault, VSS</w:t>
            </w:r>
          </w:p>
        </w:tc>
        <w:tc>
          <w:tcPr>
            <w:tcW w:type="dxa" w:w="278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הגנה מונעת ובלשית</w:t>
            </w:r>
          </w:p>
        </w:tc>
        <w:tc>
          <w:tcPr>
            <w:tcW w:type="dxa" w:w="190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Security</w:t>
            </w:r>
          </w:p>
        </w:tc>
      </w:tr>
      <w:tr>
        <w:tc>
          <w:tcPr>
            <w:tcW w:type="dxa" w:w="170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Observability</w:t>
            </w:r>
          </w:p>
        </w:tc>
        <w:tc>
          <w:tcPr>
            <w:tcW w:type="dxa" w:w="370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Logging, Events, Alarms, Notifications, Streams, Service Connectors</w:t>
            </w:r>
          </w:p>
        </w:tc>
        <w:tc>
          <w:tcPr>
            <w:tcW w:type="dxa" w:w="278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SOC, IR ו‑forensics</w:t>
            </w:r>
          </w:p>
        </w:tc>
        <w:tc>
          <w:tcPr>
            <w:tcW w:type="dxa" w:w="1900"/>
            <w:tcBorders>
              <w:top w:val="single" w:color="B8C2D0" w:sz="2"/>
              <w:left w:val="single" w:color="B8C2D0" w:sz="2"/>
              <w:bottom w:val="single" w:color="B8C2D0" w:sz="2"/>
              <w:right w:val="single" w:color="B8C2D0" w:sz="2"/>
            </w:tcBorders>
            <w:shd w:fill="FFFFFF"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SOC / Platform</w:t>
            </w:r>
          </w:p>
        </w:tc>
      </w:tr>
      <w:tr>
        <w:tc>
          <w:tcPr>
            <w:tcW w:type="dxa" w:w="170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Workloads</w:t>
            </w:r>
          </w:p>
        </w:tc>
        <w:tc>
          <w:tcPr>
            <w:tcW w:type="dxa" w:w="370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Compute, OKE, Images, Storage, Databases</w:t>
            </w:r>
          </w:p>
        </w:tc>
        <w:tc>
          <w:tcPr>
            <w:tcW w:type="dxa" w:w="278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אירוח העומסים בפועל</w:t>
            </w:r>
          </w:p>
        </w:tc>
        <w:tc>
          <w:tcPr>
            <w:tcW w:type="dxa" w:w="1900"/>
            <w:tcBorders>
              <w:top w:val="single" w:color="B8C2D0" w:sz="2"/>
              <w:left w:val="single" w:color="B8C2D0" w:sz="2"/>
              <w:bottom w:val="single" w:color="B8C2D0" w:sz="2"/>
              <w:right w:val="single" w:color="B8C2D0" w:sz="2"/>
            </w:tcBorders>
            <w:shd w:fill="F2F5FA" w:val="clear"/>
            <w:tcMar>
              <w:top w:type="dxa" w:w="50"/>
              <w:left w:type="dxa" w:w="100"/>
              <w:bottom w:type="dxa" w:w="50"/>
              <w:right w:type="dxa" w:w="100"/>
            </w:tcMar>
          </w:tcPr>
          <w:p>
            <w:pPr>
              <w:bidi/>
              <w:jc w:val="right"/>
            </w:pPr>
            <w:r>
              <w:rPr>
                <w:rFonts w:ascii="Arial" w:cs="Arial" w:eastAsia="Arial" w:hAnsi="Arial"/>
                <w:b w:val="false"/>
                <w:bCs w:val="false"/>
                <w:i w:val="false"/>
                <w:iCs w:val="false"/>
                <w:sz w:val="19"/>
                <w:szCs w:val="19"/>
                <w:rtl/>
              </w:rPr>
              <w:t xml:space="preserve">App / Platform</w:t>
            </w:r>
          </w:p>
        </w:tc>
      </w:tr>
    </w:tbl>
    <w:p>
      <w:pPr>
        <w:spacing w:after="120"/>
      </w:pP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תרשים לוגי – זרימת שליטה והגנה</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7D0DE" w:sz="4"/>
              <w:left w:val="single" w:color="C7D0DE" w:sz="4"/>
              <w:bottom w:val="single" w:color="C7D0DE" w:sz="4"/>
              <w:right w:val="single" w:color="C7D0DE" w:sz="4"/>
            </w:tcBorders>
            <w:shd w:fill="F6F8FC" w:val="clear"/>
            <w:tcMar>
              <w:top w:type="dxa" w:w="160"/>
              <w:left w:type="dxa" w:w="160"/>
              <w:bottom w:type="dxa" w:w="160"/>
              <w:right w:type="dxa" w:w="160"/>
            </w:tcMar>
          </w:tcPr>
          <w:p>
            <w:pPr>
              <w:bidi/>
              <w:spacing w:after="50" w:line="264"/>
              <w:jc w:val="center"/>
            </w:pPr>
            <w:r>
              <w:rPr>
                <w:rFonts w:ascii="Arial" w:cs="Arial" w:eastAsia="Arial" w:hAnsi="Arial"/>
                <w:b/>
                <w:bCs/>
                <w:i w:val="false"/>
                <w:iCs w:val="false"/>
                <w:color w:val="1F3864"/>
                <w:sz w:val="21"/>
                <w:szCs w:val="21"/>
                <w:rtl/>
              </w:rPr>
              <w:t xml:space="preserve">משתמשים / ספקים / אוטומציות</w:t>
            </w:r>
          </w:p>
          <w:p>
            <w:pPr>
              <w:bidi/>
              <w:spacing w:after="50" w:line="264"/>
              <w:jc w:val="center"/>
            </w:pPr>
            <w:r>
              <w:rPr>
                <w:rFonts w:ascii="Arial" w:cs="Arial" w:eastAsia="Arial" w:hAnsi="Arial"/>
                <w:b/>
                <w:bCs/>
                <w:i w:val="false"/>
                <w:iCs w:val="false"/>
                <w:color w:val="1F3864"/>
                <w:sz w:val="21"/>
                <w:szCs w:val="21"/>
                <w:rtl/>
              </w:rPr>
              <w:t xml:space="preserve">↓ דרך SSO + MFA + קבוצות והרשאות</w:t>
            </w:r>
          </w:p>
          <w:p>
            <w:pPr>
              <w:bidi/>
              <w:spacing w:after="50" w:line="264"/>
              <w:jc w:val="center"/>
            </w:pPr>
            <w:r>
              <w:rPr>
                <w:rFonts w:ascii="Arial" w:cs="Arial" w:eastAsia="Arial" w:hAnsi="Arial"/>
                <w:b/>
                <w:bCs/>
                <w:i w:val="false"/>
                <w:iCs w:val="false"/>
                <w:color w:val="1F3864"/>
                <w:sz w:val="21"/>
                <w:szCs w:val="21"/>
                <w:rtl/>
              </w:rPr>
              <w:t xml:space="preserve">OCI Identity → Policies / Dynamic Groups</w:t>
            </w:r>
          </w:p>
          <w:p>
            <w:pPr>
              <w:bidi/>
              <w:spacing w:after="50" w:line="264"/>
              <w:jc w:val="center"/>
            </w:pPr>
            <w:r>
              <w:rPr>
                <w:rFonts w:ascii="Arial" w:cs="Arial" w:eastAsia="Arial" w:hAnsi="Arial"/>
                <w:b w:val="false"/>
                <w:bCs w:val="false"/>
                <w:i w:val="false"/>
                <w:iCs w:val="false"/>
                <w:color w:val="2E5597"/>
                <w:sz w:val="26"/>
                <w:szCs w:val="26"/>
                <w:rtl/>
              </w:rPr>
              <w:t xml:space="preserve">↓</w:t>
            </w:r>
          </w:p>
          <w:p>
            <w:pPr>
              <w:bidi/>
              <w:spacing w:after="50" w:line="264"/>
              <w:jc w:val="center"/>
            </w:pPr>
            <w:r>
              <w:rPr>
                <w:rFonts w:ascii="Arial" w:cs="Arial" w:eastAsia="Arial" w:hAnsi="Arial"/>
                <w:b/>
                <w:bCs/>
                <w:i w:val="false"/>
                <w:iCs w:val="false"/>
                <w:color w:val="1F3864"/>
                <w:sz w:val="21"/>
                <w:szCs w:val="21"/>
                <w:rtl/>
              </w:rPr>
              <w:t xml:space="preserve">Hub/Spoke Networking + Private Access + Bastion</w:t>
            </w:r>
          </w:p>
          <w:p>
            <w:pPr>
              <w:bidi/>
              <w:spacing w:after="50" w:line="264"/>
              <w:jc w:val="center"/>
            </w:pPr>
            <w:r>
              <w:rPr>
                <w:rFonts w:ascii="Arial" w:cs="Arial" w:eastAsia="Arial" w:hAnsi="Arial"/>
                <w:b w:val="false"/>
                <w:bCs w:val="false"/>
                <w:i w:val="false"/>
                <w:iCs w:val="false"/>
                <w:color w:val="2E5597"/>
                <w:sz w:val="26"/>
                <w:szCs w:val="26"/>
                <w:rtl/>
              </w:rPr>
              <w:t xml:space="preserve">↓</w:t>
            </w:r>
          </w:p>
          <w:p>
            <w:pPr>
              <w:bidi/>
              <w:spacing w:after="50" w:line="264"/>
              <w:jc w:val="center"/>
            </w:pPr>
            <w:r>
              <w:rPr>
                <w:rFonts w:ascii="Arial" w:cs="Arial" w:eastAsia="Arial" w:hAnsi="Arial"/>
                <w:b/>
                <w:bCs/>
                <w:i w:val="false"/>
                <w:iCs w:val="false"/>
                <w:color w:val="1F3864"/>
                <w:sz w:val="21"/>
                <w:szCs w:val="21"/>
                <w:rtl/>
              </w:rPr>
              <w:t xml:space="preserve">Workloads (Compute / OKE / DB / Storage)</w:t>
            </w:r>
          </w:p>
          <w:p>
            <w:pPr>
              <w:bidi/>
              <w:spacing w:after="50" w:line="264"/>
              <w:jc w:val="center"/>
            </w:pPr>
            <w:r>
              <w:rPr>
                <w:rFonts w:ascii="Arial" w:cs="Arial" w:eastAsia="Arial" w:hAnsi="Arial"/>
                <w:b w:val="false"/>
                <w:bCs w:val="false"/>
                <w:i w:val="false"/>
                <w:iCs w:val="false"/>
                <w:color w:val="2E5597"/>
                <w:sz w:val="26"/>
                <w:szCs w:val="26"/>
                <w:rtl/>
              </w:rPr>
              <w:t xml:space="preserve">↓</w:t>
            </w:r>
          </w:p>
          <w:p>
            <w:pPr>
              <w:bidi/>
              <w:spacing w:after="50" w:line="264"/>
              <w:jc w:val="center"/>
            </w:pPr>
            <w:r>
              <w:rPr>
                <w:rFonts w:ascii="Arial" w:cs="Arial" w:eastAsia="Arial" w:hAnsi="Arial"/>
                <w:b/>
                <w:bCs/>
                <w:i w:val="false"/>
                <w:iCs w:val="false"/>
                <w:color w:val="1F3864"/>
                <w:sz w:val="21"/>
                <w:szCs w:val="21"/>
                <w:rtl/>
              </w:rPr>
              <w:t xml:space="preserve">Vault + CMK + Secrets</w:t>
            </w:r>
          </w:p>
          <w:p>
            <w:pPr>
              <w:bidi/>
              <w:spacing w:after="50" w:line="264"/>
              <w:jc w:val="center"/>
            </w:pPr>
            <w:r>
              <w:rPr>
                <w:rFonts w:ascii="Arial" w:cs="Arial" w:eastAsia="Arial" w:hAnsi="Arial"/>
                <w:b w:val="false"/>
                <w:bCs w:val="false"/>
                <w:i w:val="false"/>
                <w:iCs w:val="false"/>
                <w:color w:val="2E5597"/>
                <w:sz w:val="26"/>
                <w:szCs w:val="26"/>
                <w:rtl/>
              </w:rPr>
              <w:t xml:space="preserve">↓</w:t>
            </w:r>
          </w:p>
          <w:p>
            <w:pPr>
              <w:bidi/>
              <w:spacing w:after="50" w:line="264"/>
              <w:jc w:val="center"/>
            </w:pPr>
            <w:r>
              <w:rPr>
                <w:rFonts w:ascii="Arial" w:cs="Arial" w:eastAsia="Arial" w:hAnsi="Arial"/>
                <w:b/>
                <w:bCs/>
                <w:i w:val="false"/>
                <w:iCs w:val="false"/>
                <w:color w:val="1F3864"/>
                <w:sz w:val="21"/>
                <w:szCs w:val="21"/>
                <w:rtl/>
              </w:rPr>
              <w:t xml:space="preserve">Logging + Events + Service Connectors + Streams</w:t>
            </w:r>
          </w:p>
          <w:p>
            <w:pPr>
              <w:bidi/>
              <w:spacing w:after="50" w:line="264"/>
              <w:jc w:val="center"/>
            </w:pPr>
            <w:r>
              <w:rPr>
                <w:rFonts w:ascii="Arial" w:cs="Arial" w:eastAsia="Arial" w:hAnsi="Arial"/>
                <w:b w:val="false"/>
                <w:bCs w:val="false"/>
                <w:i w:val="false"/>
                <w:iCs w:val="false"/>
                <w:color w:val="2E5597"/>
                <w:sz w:val="26"/>
                <w:szCs w:val="26"/>
                <w:rtl/>
              </w:rPr>
              <w:t xml:space="preserve">↓</w:t>
            </w:r>
          </w:p>
          <w:p>
            <w:pPr>
              <w:bidi/>
              <w:spacing w:after="0" w:line="264"/>
              <w:jc w:val="center"/>
            </w:pPr>
            <w:r>
              <w:rPr>
                <w:rFonts w:ascii="Arial" w:cs="Arial" w:eastAsia="Arial" w:hAnsi="Arial"/>
                <w:b/>
                <w:bCs/>
                <w:i w:val="false"/>
                <w:iCs w:val="false"/>
                <w:color w:val="1F3864"/>
                <w:sz w:val="21"/>
                <w:szCs w:val="21"/>
                <w:rtl/>
              </w:rPr>
              <w:t xml:space="preserve">Cloud Guard / Alarms / Notifications / SIEM / SOC</w:t>
            </w:r>
          </w:p>
        </w:tc>
      </w:tr>
    </w:tbl>
    <w:p>
      <w:pPr>
        <w:spacing w:after="120"/>
      </w:pP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מודל Tenancy, Compartments ו‑Landing Zone</w:t>
      </w:r>
    </w:p>
    <w:p>
      <w:pPr>
        <w:bidi/>
        <w:spacing w:after="110" w:before="0" w:line="276"/>
        <w:ind w:right="0"/>
        <w:jc w:val="right"/>
      </w:pPr>
      <w:r>
        <w:rPr>
          <w:rFonts w:ascii="Arial" w:cs="Arial" w:eastAsia="Arial" w:hAnsi="Arial"/>
          <w:b w:val="false"/>
          <w:bCs w:val="false"/>
          <w:i w:val="false"/>
          <w:iCs w:val="false"/>
          <w:sz w:val="22"/>
          <w:szCs w:val="22"/>
          <w:rtl/>
        </w:rPr>
        <w:t xml:space="preserve">ה‑Tenancy ינוהל כמסגרת העליונה של הארגון. ברירת המחדל תהיה Tenancy יחיד, אלא אם קיים צורך רגולטורי, חוזי או תפעולי מובהק להפרדה נוספת. ההפרדה הראשית תתבצע באמצעות Compartments ולא באמצעות פיצול לא מבוקר של Tenancies.</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יש ליצור Parent Compartment ייעודי ל‑Landing Zone ולתחתיו Compartments פונקציונליים: Identity, Network, Security, Shared Services, Logging, Dev, Test, Stage, Prod.</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עומסי Production יופרדו ל‑Compartments נפרדים לפי תחום עסקי או מערכת קריטית, כדי לצמצם Blast Radius ולהחיל Security Zones ובקרות ממוקדות.</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אין לשתף משאבים בין Dev ו‑Prod ללא ממשק רשמי, בקרת גישה וסיבה עסקית מאושרת.</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ניהול ה‑Landing Zone יבוצע באמצעות Terraform והרכבת המודולים תיעשה בגישה של Stacks נפרדים או באמצעות Orchestrator, כדי לאפשר תלותים ברורים וצריכה של outputs בין מודולים.</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Governance – Tags, תקציבים ובקרת משמעת ארגונית</w:t>
      </w:r>
    </w:p>
    <w:p>
      <w:pPr>
        <w:bidi/>
        <w:spacing w:after="110" w:before="0" w:line="276"/>
        <w:ind w:right="0"/>
        <w:jc w:val="right"/>
      </w:pPr>
      <w:r>
        <w:rPr>
          <w:rFonts w:ascii="Arial" w:cs="Arial" w:eastAsia="Arial" w:hAnsi="Arial"/>
          <w:b w:val="false"/>
          <w:bCs w:val="false"/>
          <w:i w:val="false"/>
          <w:iCs w:val="false"/>
          <w:sz w:val="22"/>
          <w:szCs w:val="22"/>
          <w:rtl/>
        </w:rPr>
        <w:t xml:space="preserve">Governance ב‑OCI אינו רכיב קוסמטי אלא מנגנון אכיפה. כל משאב יישא מידע שמאפשר להבין בעלות, סביבה, רגישות, עלות וקשר למערכת עסקית.</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Tagging ארגוני</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להגדיר Defined Tags ארגוניים בלבד עבור השדות הקריטיים: Owner, Application, Environment, DataClassification, BusinessCriticality, CostCenter.</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להשתמש ב‑valid values היכן שניתן, כדי למנוע וריאציות ידניות ולחזק דיווח, חיפוש ואכיפה.</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להפעיל Tag Defaults ברמת Compartment לכל תג חובה. המטרה היא שהתגים יחולו אוטומטית בעת יצירת משאב, ולא יסתמכו על משמעת ידנית.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לנצל את Oracle‑Tags או תגיות CreatedBy/CreatedOn לצורכי auditability, חקירה ו‑FinOps.</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Budgets ו‑FinOps מבוקר</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להגדיר Budget שורש ל‑Tenancy לצורך זיהוי צריכה חריגה ברמה ארגונית.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בנוסף, יש להגדיר Budgets לכל Compartment מרכזי ולתגיות Cost Tracking של מערכות, צוותים וסביבות ייצור.</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התראות יוגדרו גם על Actual Spend וגם על Forecast Spend, באחוזים ובסכומים מוחלטים, כדי לאפשר גילוי מוקדם של חריגות.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חריגות תקציב יטופלו בתהליך משותף של Platform, FinOps ואבטחת מידע כאשר מדובר בעלייה חשודה, פתאומית או בלתי מוסברת.</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ניהול זהויות והרשאות (IAM)</w:t>
      </w:r>
    </w:p>
    <w:p>
      <w:pPr>
        <w:bidi/>
        <w:spacing w:after="110" w:before="0" w:line="276"/>
        <w:ind w:right="0"/>
        <w:jc w:val="right"/>
      </w:pPr>
      <w:r>
        <w:rPr>
          <w:rFonts w:ascii="Arial" w:cs="Arial" w:eastAsia="Arial" w:hAnsi="Arial"/>
          <w:b w:val="false"/>
          <w:bCs w:val="false"/>
          <w:i w:val="false"/>
          <w:iCs w:val="false"/>
          <w:sz w:val="22"/>
          <w:szCs w:val="22"/>
          <w:rtl/>
        </w:rPr>
        <w:t xml:space="preserve">IAM הוא קו ההגנה החשוב ביותר ב‑OCI. כל הרשאה תינתן לפי Least Privilege, באמצעות Groups ו‑Policies, עם תיעוד ברור של מי מאשר, מי משתמש, ולמה.</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זהויות אנושיות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כל גישה אנושית ל‑OCI תתבצע דרך SSO / Federation מול ספק זהויות ארגוני. אין להסתמך על משתמשים מקומיים למעט Break‑Glass.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MFA חובה לכל משתמש; לעדיפות גבוהה לאמצעי עמיד כגון מפתח חומרה עבור תפקידי אדמין, IAM, רשת ואבטחת מידע.</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חשבונות אדמין כלליים לא ישמשו לעבודה שוטפת. יש להגדיר חשבונות Break‑Glass מצומצמים, מבודדים, מנוטרים ומוגני MFA.</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מודל הרשאות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הרשאות יינתנו לקבוצות בלבד. אין להעניק הרשאות ישירות למשתמשים אלא בחריגות מאושרות ומתועדות.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להשתמש בפעלים המינימליים האפשריים במדיניות OCI: inspect, read, use, manage, לפי הצורך בפועל.</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להפריד בין מנהלי רשת, מנהלי אבטחה, מנהלי Vault, SOC, DevOps ומנהלי עומסים.</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לבצע סקירה רבעונית של קבוצות, Policies והרשאות חריגות.</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זהויות מכונה</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להשתמש ב‑Dynamic Groups ו‑instance principals/resource principals במקום מפתחות סטטיים ככל האפשר.</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אין לשמור מפתחות גישה, סיסמאות או טוקנים בקוד, ב‑image או ב‑user‑data.</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כל Service Identity יקבל הרשאות מצומצמות למשאביו בלבד.</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עקרונות תפעול</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גישה זמנית לפריבילגיה גבוהה תינתן לזמן מוגבל, עם אישור, תיעוד, ניטור והסרה אוטומטית ככל האפשר.</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כל שינוי ב‑Policies, Groups או Federation ינוטר ויפיק התרעה ל‑SOC ול‑Cloud Security.</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אבטחת רשת וארכיטקטורת חיבוריות</w:t>
      </w:r>
    </w:p>
    <w:p>
      <w:pPr>
        <w:bidi/>
        <w:spacing w:after="110" w:before="0" w:line="276"/>
        <w:ind w:right="0"/>
        <w:jc w:val="right"/>
      </w:pPr>
      <w:r>
        <w:rPr>
          <w:rFonts w:ascii="Arial" w:cs="Arial" w:eastAsia="Arial" w:hAnsi="Arial"/>
          <w:b w:val="false"/>
          <w:bCs w:val="false"/>
          <w:i w:val="false"/>
          <w:iCs w:val="false"/>
          <w:sz w:val="22"/>
          <w:szCs w:val="22"/>
          <w:rtl/>
        </w:rPr>
        <w:t xml:space="preserve">ארכיטקטורת הרשת תיבנה בגישת Private‑by‑Default, Segmentation ו‑Hub‑and‑Spoke לפי צורך. הרשת היא לא רק תווך תקשורת; היא שכבת בקרה.</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עקרונות על</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אין חשיפה ציבורית כברירת מחדל. כל משאב יופעל בסאבנט פרטי אלא אם יש דרישה עסקית מנומקת לחשיפה.</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גישה לשירותי OCI תבוצע באמצעות Service Gateway, Private Service Access או Private Endpoints היכן שנתמך.</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להעדיף NSGs לניהול granular ברמת עומס על פני Security Lists כלליות, למעט Baseline מצומצם ברמת סאבנט.</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להגדיר Route Tables, Gateways וחוקי אבטחה בתצורה מפורשת. אין להסתמך על Any‑Any או על נתיבי ברירת מחדל מיותרים.</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מודל מומלץ</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VCN Hub ייעודי לשירותי רשת ושערים משותפים; VCNs מסוג Spoke לעומסים עסקיים או סביבות נפרדות.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Subnets נפרדים לפחות עבור: Load Balancers / DMZ, אפליקציות, נתונים, ניהול, OKE Nodes / Pods אם נדרש.</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DRG V2 ישמש לחיבור On‑Prem, VCN peering, או DMZ לפי הצורך העסקי.</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כאשר יש יישומים אינטרנטיים, יש למקם WAF לפני השירות הרלוונטי, ולשקול LB ציבורי/פרטי בהתאם לדפוס הצריכה.</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תעבורת ניהול</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אין לאפשר SSH/RDP ישירים ממשאב ציבורי או דרך Public IP.</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גישה תפעולית לשרתים פרטיים תתבצע באמצעות OCI Bastion בלבד, עם סשנים מוגבלים בזמן, הרשאה מפורשת ומעקב.</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לצמצם מקורות גישה, פורטים ופרוטוקולים למינימום הנדרש; תעבורת ניהול תופרד מתעבורת אפליקציה.</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פרטיות וחיבוריות לשירותים</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מערכות ללא צורך ביציאה לאינטרנט לא יקבלו internet path.</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שירותים מנוהלים יתועדפו בתצורת private endpoint / service gateway לפני פתרונות ציבוריים.</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לאפשר גישה לאינטרנט יוצא רק דרך רכיבים מאושרים ומבוקרים, עם אפשרות רישום, סינון והגבלת יעדים.</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שירותי אבטחה מובנים – Bastion, Cloud Guard, Security Zones, Vault, VSS</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Bastion</w:t>
      </w:r>
    </w:p>
    <w:p>
      <w:pPr>
        <w:bidi/>
        <w:spacing w:after="110" w:before="0" w:line="276"/>
        <w:ind w:right="720"/>
        <w:jc w:val="right"/>
      </w:pPr>
      <w:r>
        <w:rPr>
          <w:rFonts w:ascii="Arial" w:cs="Arial" w:eastAsia="Arial" w:hAnsi="Arial"/>
          <w:b w:val="false"/>
          <w:bCs w:val="false"/>
          <w:i w:val="false"/>
          <w:iCs w:val="false"/>
          <w:sz w:val="22"/>
          <w:szCs w:val="22"/>
          <w:rtl/>
        </w:rPr>
        <w:t xml:space="preserve">Bastion הוא מנגנון הגישה המועדף לעומסים ללא Public IP. המדיניות הארגונית היא לבטל SSH/RDP ישירים ולחייב גישה מוגבלת‑זמן ומאומתת דרך Bastion.</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כל סשן ניהול יהיה זמני, ייקשר למשאב מטרה ברור, ויתועד לצורכי audit.</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להגביל מי רשאי לפתוח Bastion Session, לאילו משאבים, ובאילו שעות/צרכים.</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Cloud Guard</w:t>
      </w:r>
    </w:p>
    <w:p>
      <w:pPr>
        <w:bidi/>
        <w:spacing w:after="110" w:before="0" w:line="276"/>
        <w:ind w:right="720"/>
        <w:jc w:val="right"/>
      </w:pPr>
      <w:r>
        <w:rPr>
          <w:rFonts w:ascii="Arial" w:cs="Arial" w:eastAsia="Arial" w:hAnsi="Arial"/>
          <w:b w:val="false"/>
          <w:bCs w:val="false"/>
          <w:i w:val="false"/>
          <w:iCs w:val="false"/>
          <w:sz w:val="22"/>
          <w:szCs w:val="22"/>
          <w:rtl/>
        </w:rPr>
        <w:t xml:space="preserve">Cloud Guard יופעל ברמת ה‑Tenancy עם Targets, Detector Recipes ו‑Responder Recipes מותאמים. הוא ישמש מנגנון מרכזי לניטור misconfigurations, פעילות מסוכנת ותגובה.</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להתחיל ב‑Oracle‑managed recipes, לשכפל אותן היכן שנדרש, ולהתאים רגישות וחוקי תגובה.</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לחבר את ממצאי Cloud Guard ל‑SIEM ולתהליכי IR; אין להשאיר את הפתרון כמסך מקומי בלבד.</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Responder Recipes יאושרו בזהירות; פעולות אוטומטיות יש להפעיל תחילה לסיכונים ברורים כגון חשיפה ציבורית לא מורשית.</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Security Zones</w:t>
      </w:r>
    </w:p>
    <w:p>
      <w:pPr>
        <w:bidi/>
        <w:spacing w:after="110" w:before="0" w:line="276"/>
        <w:ind w:right="720"/>
        <w:jc w:val="right"/>
      </w:pPr>
      <w:r>
        <w:rPr>
          <w:rFonts w:ascii="Arial" w:cs="Arial" w:eastAsia="Arial" w:hAnsi="Arial"/>
          <w:b w:val="false"/>
          <w:bCs w:val="false"/>
          <w:i w:val="false"/>
          <w:iCs w:val="false"/>
          <w:sz w:val="22"/>
          <w:szCs w:val="22"/>
          <w:rtl/>
        </w:rPr>
        <w:t xml:space="preserve">Security Zones הן שכבת מניעה. עבור אזורי Production, נתונים רגישים וסביבות קריטיות, יש להחיל Security Zones או אזורי guardrails שקולים.</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לזכור ש‑Security Zones דורשות Cloud Guard מופעל.</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להשתמש ב‑Maximum Security Recipe כברירת מחדל לאזורים רגישים, ולהחריג רק באופן רשמי ומתועד.</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סביבות Dev/Test יכולות לפעול מחוץ ל‑Security Zones כאשר הדבר נדרש, אך עדיין תחת Cloud Guard ובקרות מינימום.</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Vault / KMS / Secrets</w:t>
      </w:r>
    </w:p>
    <w:p>
      <w:pPr>
        <w:bidi/>
        <w:spacing w:after="110" w:before="0" w:line="276"/>
        <w:ind w:right="720"/>
        <w:jc w:val="right"/>
      </w:pPr>
      <w:r>
        <w:rPr>
          <w:rFonts w:ascii="Arial" w:cs="Arial" w:eastAsia="Arial" w:hAnsi="Arial"/>
          <w:b w:val="false"/>
          <w:bCs w:val="false"/>
          <w:i w:val="false"/>
          <w:iCs w:val="false"/>
          <w:sz w:val="22"/>
          <w:szCs w:val="22"/>
          <w:rtl/>
        </w:rPr>
        <w:t xml:space="preserve">Vault הוא מנגנון החובה לניהול מפתחות, סודות ותעודות. נתונים רגישים ישתמשו ב‑Customer Managed Keys, ובמקרים רגולטוריים מחמירים – ב‑HSM או תצורה שקולה.</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סודות יישמרו ב‑Vault/Secrets בלבד; אין להחזיקם בקוד, ב‑Terraform variables לא מוגנים, ב‑images או בקובצי קונפיגורציה.</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להחיל הפרדה בין מנהלי מפתחות לבין צרכני המפתחות.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להפעיל רוטציה אוטומטית למפתחות ולסודות היכן שנתמך, ולהגדיר בקרה ידנית מסודרת היכן שלא.</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Vulnerability Scanning Service</w:t>
      </w:r>
    </w:p>
    <w:p>
      <w:pPr>
        <w:bidi/>
        <w:spacing w:after="110" w:before="0" w:line="276"/>
        <w:ind w:right="720"/>
        <w:jc w:val="right"/>
      </w:pPr>
      <w:r>
        <w:rPr>
          <w:rFonts w:ascii="Arial" w:cs="Arial" w:eastAsia="Arial" w:hAnsi="Arial"/>
          <w:b w:val="false"/>
          <w:bCs w:val="false"/>
          <w:i w:val="false"/>
          <w:iCs w:val="false"/>
          <w:sz w:val="22"/>
          <w:szCs w:val="22"/>
          <w:rtl/>
        </w:rPr>
        <w:t xml:space="preserve">VSS יופעל באופן רציף עבור Hosts ו‑Container Images לפי סוג העומס. השירות יספק גילוי חולשות, פורטים פתוחים וממצאים נוספים, ויוזן ל‑Cloud Guard ול‑SOC.</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סריקה חד‑פעמית אינה מספיקה; נדרש Continuous Scanning.</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להגדיר ספי טיפול לפי חומרה, חשיפה לרשת, קריטיות עסקית ויכולת ניצול.</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ממצאים קריטיים על משאבים חשופים יטופלו בזמן קצוב בהתאם ל‑SLA הארגוני.</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Observability, Logging, Events ו‑SOC</w:t>
      </w:r>
    </w:p>
    <w:p>
      <w:pPr>
        <w:bidi/>
        <w:spacing w:after="110" w:before="0" w:line="276"/>
        <w:ind w:right="0"/>
        <w:jc w:val="right"/>
      </w:pPr>
      <w:r>
        <w:rPr>
          <w:rFonts w:ascii="Arial" w:cs="Arial" w:eastAsia="Arial" w:hAnsi="Arial"/>
          <w:b w:val="false"/>
          <w:bCs w:val="false"/>
          <w:i w:val="false"/>
          <w:iCs w:val="false"/>
          <w:sz w:val="22"/>
          <w:szCs w:val="22"/>
          <w:rtl/>
        </w:rPr>
        <w:t xml:space="preserve">תצפיתיות ב‑OCI היא רכיב הגנה ולא רק ניטור תפעולי. כל רכיב חייב לייצר לוגים, אירועים ומטריקות ברמה שמספיקה לזיהוי, תגובה וחקירה.</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Logging</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להפעיל Audit Logs, Service Logs ו‑VCN Flow Logs היכן שרלוונטי.</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Log Groups יוגדרו לפי סביבה, רגישות, פלטפורמה או תחום עסקי, כדי לשפר הרשאות, שימור וחיפוש.</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להגדיר Retention לפי סוג הלוג: audit/security למשך זמן ארוך יותר מלוגי debug.</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Events, Alarms ו‑Notifications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אירועי תצורה חשובים – שינוי IAM, שינוי רשת, יצירת משאב ציבורי, שינוי Vault, שינוי Guardrails – יוגדרו כ‑Events שיכולים להפעיל התרעות או אוטומציות.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Alarms ייבנו לא רק על threshold פשוט אלא גם על דפוסי חריגה רלוונטיים, כגון קפיצה בכשלי login, פתיחת פורט חריגה או שימוש חריג ב‑API.</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Notifications יופרדו לפי חומרה וצרכן: SOC, צוות פלטפורמה, בעלי מערכת, ותור IR.</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Service Connectors ו‑Streams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הזרמת נתונים בין שירותי ניטור ל‑SIEM/Storage תתבצע דרך Service Connector Hub ו‑Streams היכן שהיקף המידע או הדרישות התפעוליות מצדיקים זאת.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להעדיף decoupling: Logging ו‑Events מייצרים מידע; Service Connectors מעבירים אותו; SIEM ו‑SOC מנתחים אותו.</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לוגים ואירועים קריטיים יוזרמו למערכת SIEM חיצונית ארגונית באמצעות תצורה חוזרת, מתועדת וניתנת לבדיקה.</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עקרונות SOC</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לכל בקרת זיהוי תוגדר בעלות, תיעוד, חומרה, Use Case ו‑response path.</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להבטיח שניתן לשמור, לייצא ולחקור לוגים גם בעת אירוע, ללא תלות בממשק בודד.</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Cloud Guard אינו מחליף SIEM; הוא משלים אותו ומספק posture ו‑native detections.</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אבטחת נתונים, סיווג והצפנה</w:t>
      </w:r>
    </w:p>
    <w:p>
      <w:pPr>
        <w:bidi/>
        <w:spacing w:after="110" w:before="0" w:line="276"/>
        <w:ind w:right="0"/>
        <w:jc w:val="right"/>
      </w:pPr>
      <w:r>
        <w:rPr>
          <w:rFonts w:ascii="Arial" w:cs="Arial" w:eastAsia="Arial" w:hAnsi="Arial"/>
          <w:b w:val="false"/>
          <w:bCs w:val="false"/>
          <w:i w:val="false"/>
          <w:iCs w:val="false"/>
          <w:sz w:val="22"/>
          <w:szCs w:val="22"/>
          <w:rtl/>
        </w:rPr>
        <w:t xml:space="preserve">הגנת המידע תתחיל בסיווג. כל מערכת חייבת לדעת איזה מידע היא מחזיקה, היכן הוא נשמר, מי רשאי לגשת אליו, ואיך הוא מוגן.</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סיווג מידע</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להגדיר לפחות ארבע רמות: Public, Internal, Sensitive, Restricted.</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תגית DataClassification תהיה חובה לכל משאב מרכזי ולכל עומס.</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הצפנה במנוחה ובתעבורה</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כל הנתונים במנוחה יוצפנו. עבור מידע רגיש או רגולטורי – באמצעות CMK מנוהל ב‑Vault.</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כל התעבורה תוצפן ב‑TLS 1.2 ומעלה; עדיפות ל‑TLS 1.3 כאשר נתמך.</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תעבורת שירות‑לשירות תוגן ותוגבל; אין להסתמך על 'פנימי = בטוח'.</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הפרדת תפקידים סביב מפתחות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מנהלי Vault ומפתחות לא יהיו אותם גורמים שמפעילים את האפליקציה וצורכים את הסוד.</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כל גישה למפתחות, גרסאות סוד ורוטציות תנוטר ותישלח ל‑SOC כאשר מדובר במפתחות רגישים.</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עומסים, Compute, Images ו‑OKE</w:t>
      </w:r>
    </w:p>
    <w:p>
      <w:pPr>
        <w:bidi/>
        <w:spacing w:after="110" w:before="0" w:line="276"/>
        <w:ind w:right="0"/>
        <w:jc w:val="right"/>
      </w:pPr>
      <w:r>
        <w:rPr>
          <w:rFonts w:ascii="Arial" w:cs="Arial" w:eastAsia="Arial" w:hAnsi="Arial"/>
          <w:b w:val="false"/>
          <w:bCs w:val="false"/>
          <w:i w:val="false"/>
          <w:iCs w:val="false"/>
          <w:sz w:val="22"/>
          <w:szCs w:val="22"/>
          <w:rtl/>
        </w:rPr>
        <w:t xml:space="preserve">המקום שבו הסיכון מתממש בפועל הוא ה‑Workload. לכן המדיניות מחייבת Baseline לעומסים, דימויים מאושרים, הפרדת רשת והרשאות, ויכולת סריקה רציפה.</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Compute ו‑Storage</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לפרוס Compute ו‑Storage רק דרך מודולים או תבניות מאושרות, ולא ידנית.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אין Public IP לעומסים, למעט רכיבי Front Door מאושרים.</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Boot Volumes ו‑Block Volumes יוצפנו; גישה לאחסון תוגבל ב‑IAM וברשת.</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Platform Images ו‑Marketplace Images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להשתמש ב‑Platform Images רשמיים או ב‑Golden Images פנימיים מאושרים, מעודכנים ומנוהלים.</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Marketplace Images ייחשבו Supply‑Chain Risk. השימוש בהם יחייב בדיקת יצרן, צורך עסקי, קבלה של תנאי שימוש ותיעוד מלא.</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אין לאפשר פריסת Image לא מאושר בסביבות ייצור.</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OKE / Kubernetes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להעדיף Cluster פרטי, או לפחות להימנע מחשיפת Control Plane ציבורית ללא בקרות נוספות חזקות.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להפריד Subnets, להפעיל Network Policies, ולהגדיר זהויות והרשאות מצומצמות ל‑nodes ול‑workloads.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Secrets בקונטיינרים ינוהלו מחוץ ל‑image ובתצורה מנוהלת.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להחיל סריקת חולשות ל‑images ולנהל מחזור חיים של images מאושרים.</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שרשרת אספקה ו‑CI/CD</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כל Image או Artifact לפרודקשן יעבור סריקה, אישור ושיוך לגרסה.</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להימנע מ‑drift ידני בשרתים; שינויים יתבצעו דרך Pipeline ו‑IaC.</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הרשאות של Pipelines וחשבונות שירות של CI/CD יהיו נפרדות מסביבת ריצה.</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DevSecOps, Infrastructure as Code וניהול שינוי</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כל משאב ליבה – IAM, רשת, Vault, Logging, Cloud Guard, Security Zones, Compute, OKE – ינוהל כקוד.</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אין לאשר שינוי ישיר בקונסול בסביבות מבצעיות, אלא בתרחישי חרום מוגדרים ומתועדים.</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כל Pull Request עם שינוי תשתיתי יחייב Code Review, ובשינויים קריטיים גם אישור Security/Platform.</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יש לבצע בדיקות סטטיות ל‑Terraform, ולשמור State בצורה מאובטחת ומבוקרת.</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שינויי Resource Keys או Naming ייעשו בזהירות, שכן עלולים לגרור יצירה מחדש של משאבים.</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גישת SaaS, ספקים וצד שלישי</w:t>
      </w:r>
    </w:p>
    <w:p>
      <w:pPr>
        <w:bidi/>
        <w:spacing w:after="110" w:before="0" w:line="276"/>
        <w:ind w:right="0"/>
        <w:jc w:val="right"/>
      </w:pPr>
      <w:r>
        <w:rPr>
          <w:rFonts w:ascii="Arial" w:cs="Arial" w:eastAsia="Arial" w:hAnsi="Arial"/>
          <w:b w:val="false"/>
          <w:bCs w:val="false"/>
          <w:i w:val="false"/>
          <w:iCs w:val="false"/>
          <w:sz w:val="22"/>
          <w:szCs w:val="22"/>
          <w:rtl/>
        </w:rPr>
        <w:t xml:space="preserve">מערכות SaaS המחוברות ל‑OCI או מוזנות ממנו יעמדו באותם עקרונות: SSO, Least Privilege, Logging, הצפנה, ותיעוד ממשקי API.</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גישה מ‑SaaS ל‑OCI תינתן דרך זהויות שירות מצומצמות, סודות מנוהלים ו‑network paths מבוקרים.</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כל ספק צד שלישי שמקבל גישה למערכות או ללוגים יחויב בתהליך onboarding, הגדרת בעלות, תקופת גישה וביטול מסודר.</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יש להימנע מ‑API keys ארוכי טווח עבור אינטגרציות, ולהעדיף מנגנונים קצרים/מנוהלים היכן שנתמך.</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תגובה לאירועים, חקירה והתאוששות</w:t>
      </w:r>
    </w:p>
    <w:p>
      <w:pPr>
        <w:bidi/>
        <w:spacing w:after="110" w:before="0" w:line="276"/>
        <w:ind w:right="0"/>
        <w:jc w:val="right"/>
      </w:pPr>
      <w:r>
        <w:rPr>
          <w:rFonts w:ascii="Arial" w:cs="Arial" w:eastAsia="Arial" w:hAnsi="Arial"/>
          <w:b w:val="false"/>
          <w:bCs w:val="false"/>
          <w:i w:val="false"/>
          <w:iCs w:val="false"/>
          <w:sz w:val="22"/>
          <w:szCs w:val="22"/>
          <w:rtl/>
        </w:rPr>
        <w:t xml:space="preserve">מדיניות OCI חייבת לכלול גם יכולת תגובה, לא רק מניעה. אירוע בענן דורש שילוב של IAM, רשת, לוגים, snapshots ו‑business coordination.</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דרישות IR</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להגדיר Playbooks לפחות עבור: חשבון שנפרץ, חשיפה ציבורית לא מורשית, דלף נתונים, workload compromise, ממצא קריטי ב‑Cloud Guard/VSS.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לקבוע מי מוסמך לבצע containment: חסימת NSG, ניתוק route, סגירת גישה ציבורית, סיבוב סוד, השבתת זהות.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לשמור לוגים, אירועים, snapshots וראיות לפני פעולת remediation שמשמידה עדות, היכן שהדבר ישים.</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BCP / DR</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יש להגדיר גיבויים, retention, בדיקות שחזור ו‑DR לפי קריטיות עסקית.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מערכות קריטיות ייבחנו עבור Multi‑AD/Multi‑Region בהתאם ל‑RTO/RPO.</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מפתחות, סודות ותלויות ניהול ייכללו בתכנון ה‑DR, ולא רק הנתונים והשרתים.</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חריגות, ביקורת ומדדי בקרה</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כל חריגה מהמדיניות תאושר מראש, תתועד, תקבל owner ותאריך תפוגה.</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יש לבצע ביקורת רבעונית לפחות על IAM, חשיפות ציבוריות, Tagging, Cloud Guard findings, VSS findings, ו‑budget anomalies.</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מדדי חובה מומלצים: אחוז משאבים מתויגים; אחוז משאבים פרטיים; מספר הרשאות ישירות; זמן תיקון misconfigurations; זמן טיפול בממצאי VSS; כיסוי לוגים; שיעור workloads ב‑Security Zones.</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מסמך זה ייבחן מחדש בכל שינוי מהותי בארכיטקטורה, בדרישות רגולציה, או ביכולות OCI.</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המלצות יישום מדורגות (Roadmap)</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שלב 1 – יסודות</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הקמת Landing Zone, Compartments, SSO, Groups/Policies, Tagging ו‑Budgets.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בניית רשת בסיסית פרטית, NSGs, DRG/Hub‑and‑Spoke לפי צורך.</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שלב 2 – Guardrails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הפעלת Cloud Guard, Bastion, Vault, Security Zones לאזורים רגישים, ו‑VSS.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הגדרת Logging, Events, Notifications ו‑Flow Logs.</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שלב 3 – SOC ו‑Workloads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הזרמה ל‑SIEM באמצעות Service Connectors/Streams, Alarms ו‑Use Cases.</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החלת Baseline לעומסי Compute/OKE, Images מאושרים ו‑Pipeline קשיח.</w:t>
      </w:r>
    </w:p>
    <w:p>
      <w:pPr>
        <w:pStyle w:val="Heading2"/>
        <w:keepNext/>
        <w:numPr>
          <w:ilvl w:val="1"/>
          <w:numId w:val="2"/>
        </w:numPr>
        <w:bidi/>
        <w:spacing w:after="60" w:before="220"/>
        <w:ind w:right="720" w:hanging="440"/>
        <w:jc w:val="right"/>
      </w:pPr>
      <w:r>
        <w:rPr>
          <w:rFonts w:ascii="Arial" w:cs="Arial" w:eastAsia="Arial" w:hAnsi="Arial"/>
          <w:b/>
          <w:bCs/>
          <w:i w:val="false"/>
          <w:iCs w:val="false"/>
          <w:color w:val="2E5597"/>
          <w:sz w:val="22"/>
          <w:szCs w:val="22"/>
          <w:rtl/>
        </w:rPr>
        <w:t xml:space="preserve">שלב 4 – אוטומציה מלאה</w:t>
      </w:r>
    </w:p>
    <w:p>
      <w:pPr>
        <w:pStyle w:val="ListParagraph"/>
        <w:numPr>
          <w:ilvl w:val="2"/>
          <w:numId w:val="2"/>
        </w:numPr>
        <w:bidi/>
        <w:spacing w:after="60" w:line="276"/>
        <w:ind w:right="1060" w:hanging="500"/>
        <w:jc w:val="right"/>
      </w:pPr>
      <w:r>
        <w:rPr>
          <w:rFonts w:ascii="Arial" w:cs="Arial" w:eastAsia="Arial" w:hAnsi="Arial"/>
          <w:b w:val="false"/>
          <w:bCs w:val="false"/>
          <w:i w:val="false"/>
          <w:iCs w:val="false"/>
          <w:sz w:val="22"/>
          <w:szCs w:val="22"/>
          <w:rtl/>
        </w:rPr>
        <w:t xml:space="preserve">Auto‑remediation מבוקרת, KPI dashboards, ביקורת רציפה ו‑drift detection.</w:t>
      </w: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נספח – מבנה Compartments מומלץ</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5597" w:sz="30"/>
              <w:bottom w:val="none" w:color="FFFFFF" w:sz="0"/>
              <w:right w:val="none" w:color="FFFFFF" w:sz="0"/>
            </w:tcBorders>
            <w:shd w:fill="F4F4F4" w:val="clear"/>
            <w:tcMar>
              <w:top w:type="dxa" w:w="120"/>
              <w:left w:type="dxa" w:w="200"/>
              <w:bottom w:type="dxa" w:w="120"/>
              <w:right w:type="dxa" w:w="160"/>
            </w:tcMar>
          </w:tcPr>
          <w:p>
            <w:pPr>
              <w:spacing w:after="20" w:line="252"/>
              <w:jc w:val="left"/>
            </w:pPr>
            <w:r>
              <w:rPr>
                <w:rFonts w:ascii="Consolas" w:cs="Consolas" w:eastAsia="Consolas" w:hAnsi="Consolas"/>
                <w:color w:val="1A1A1A"/>
                <w:sz w:val="19"/>
                <w:szCs w:val="19"/>
              </w:rPr>
              <w:t xml:space="preserve">Root Tenancy</w:t>
            </w:r>
          </w:p>
          <w:p>
            <w:pPr>
              <w:spacing w:after="20" w:line="252"/>
              <w:jc w:val="left"/>
            </w:pPr>
            <w:r>
              <w:rPr>
                <w:rFonts w:ascii="Consolas" w:cs="Consolas" w:eastAsia="Consolas" w:hAnsi="Consolas"/>
                <w:color w:val="1A1A1A"/>
                <w:sz w:val="19"/>
                <w:szCs w:val="19"/>
              </w:rPr>
              <w:t xml:space="preserve">├─ Platform‑Shared</w:t>
            </w:r>
          </w:p>
          <w:p>
            <w:pPr>
              <w:spacing w:after="20" w:line="252"/>
              <w:jc w:val="left"/>
            </w:pPr>
            <w:r>
              <w:rPr>
                <w:rFonts w:ascii="Consolas" w:cs="Consolas" w:eastAsia="Consolas" w:hAnsi="Consolas"/>
                <w:color w:val="1A1A1A"/>
                <w:sz w:val="19"/>
                <w:szCs w:val="19"/>
              </w:rPr>
              <w:t xml:space="preserve">│  ├─ Identity</w:t>
            </w:r>
          </w:p>
          <w:p>
            <w:pPr>
              <w:spacing w:after="20" w:line="252"/>
              <w:jc w:val="left"/>
            </w:pPr>
            <w:r>
              <w:rPr>
                <w:rFonts w:ascii="Consolas" w:cs="Consolas" w:eastAsia="Consolas" w:hAnsi="Consolas"/>
                <w:color w:val="1A1A1A"/>
                <w:sz w:val="19"/>
                <w:szCs w:val="19"/>
              </w:rPr>
              <w:t xml:space="preserve">│  ├─ Network‑Hub</w:t>
            </w:r>
          </w:p>
          <w:p>
            <w:pPr>
              <w:spacing w:after="20" w:line="252"/>
              <w:jc w:val="left"/>
            </w:pPr>
            <w:r>
              <w:rPr>
                <w:rFonts w:ascii="Consolas" w:cs="Consolas" w:eastAsia="Consolas" w:hAnsi="Consolas"/>
                <w:color w:val="1A1A1A"/>
                <w:sz w:val="19"/>
                <w:szCs w:val="19"/>
              </w:rPr>
              <w:t xml:space="preserve">│  ├─ Security</w:t>
            </w:r>
          </w:p>
          <w:p>
            <w:pPr>
              <w:spacing w:after="20" w:line="252"/>
              <w:jc w:val="left"/>
            </w:pPr>
            <w:r>
              <w:rPr>
                <w:rFonts w:ascii="Consolas" w:cs="Consolas" w:eastAsia="Consolas" w:hAnsi="Consolas"/>
                <w:color w:val="1A1A1A"/>
                <w:sz w:val="19"/>
                <w:szCs w:val="19"/>
              </w:rPr>
              <w:t xml:space="preserve">│  ├─ Logging‑Observability</w:t>
            </w:r>
          </w:p>
          <w:p>
            <w:pPr>
              <w:spacing w:after="20" w:line="252"/>
              <w:jc w:val="left"/>
            </w:pPr>
            <w:r>
              <w:rPr>
                <w:rFonts w:ascii="Consolas" w:cs="Consolas" w:eastAsia="Consolas" w:hAnsi="Consolas"/>
                <w:color w:val="1A1A1A"/>
                <w:sz w:val="19"/>
                <w:szCs w:val="19"/>
              </w:rPr>
              <w:t xml:space="preserve">│  └─ Shared‑Services</w:t>
            </w:r>
          </w:p>
          <w:p>
            <w:pPr>
              <w:spacing w:after="20" w:line="252"/>
              <w:jc w:val="left"/>
            </w:pPr>
            <w:r>
              <w:rPr>
                <w:rFonts w:ascii="Consolas" w:cs="Consolas" w:eastAsia="Consolas" w:hAnsi="Consolas"/>
                <w:color w:val="1A1A1A"/>
                <w:sz w:val="19"/>
                <w:szCs w:val="19"/>
              </w:rPr>
              <w:t xml:space="preserve">├─ NonProd</w:t>
            </w:r>
          </w:p>
          <w:p>
            <w:pPr>
              <w:spacing w:after="20" w:line="252"/>
              <w:jc w:val="left"/>
            </w:pPr>
            <w:r>
              <w:rPr>
                <w:rFonts w:ascii="Consolas" w:cs="Consolas" w:eastAsia="Consolas" w:hAnsi="Consolas"/>
                <w:color w:val="1A1A1A"/>
                <w:sz w:val="19"/>
                <w:szCs w:val="19"/>
              </w:rPr>
              <w:t xml:space="preserve">│  ├─ Dev</w:t>
            </w:r>
          </w:p>
          <w:p>
            <w:pPr>
              <w:spacing w:after="20" w:line="252"/>
              <w:jc w:val="left"/>
            </w:pPr>
            <w:r>
              <w:rPr>
                <w:rFonts w:ascii="Consolas" w:cs="Consolas" w:eastAsia="Consolas" w:hAnsi="Consolas"/>
                <w:color w:val="1A1A1A"/>
                <w:sz w:val="19"/>
                <w:szCs w:val="19"/>
              </w:rPr>
              <w:t xml:space="preserve">│  ├─ Test</w:t>
            </w:r>
          </w:p>
          <w:p>
            <w:pPr>
              <w:spacing w:after="20" w:line="252"/>
              <w:jc w:val="left"/>
            </w:pPr>
            <w:r>
              <w:rPr>
                <w:rFonts w:ascii="Consolas" w:cs="Consolas" w:eastAsia="Consolas" w:hAnsi="Consolas"/>
                <w:color w:val="1A1A1A"/>
                <w:sz w:val="19"/>
                <w:szCs w:val="19"/>
              </w:rPr>
              <w:t xml:space="preserve">│  └─ Stage</w:t>
            </w:r>
          </w:p>
          <w:p>
            <w:pPr>
              <w:spacing w:after="20" w:line="252"/>
              <w:jc w:val="left"/>
            </w:pPr>
            <w:r>
              <w:rPr>
                <w:rFonts w:ascii="Consolas" w:cs="Consolas" w:eastAsia="Consolas" w:hAnsi="Consolas"/>
                <w:color w:val="1A1A1A"/>
                <w:sz w:val="19"/>
                <w:szCs w:val="19"/>
              </w:rPr>
              <w:t xml:space="preserve">└─ Prod</w:t>
            </w:r>
          </w:p>
          <w:p>
            <w:pPr>
              <w:spacing w:after="20" w:line="252"/>
              <w:jc w:val="left"/>
            </w:pPr>
            <w:r>
              <w:rPr>
                <w:rFonts w:ascii="Consolas" w:cs="Consolas" w:eastAsia="Consolas" w:hAnsi="Consolas"/>
                <w:color w:val="1A1A1A"/>
                <w:sz w:val="19"/>
                <w:szCs w:val="19"/>
              </w:rPr>
              <w:t xml:space="preserve">   ├─ App‑A</w:t>
            </w:r>
          </w:p>
          <w:p>
            <w:pPr>
              <w:spacing w:after="20" w:line="252"/>
              <w:jc w:val="left"/>
            </w:pPr>
            <w:r>
              <w:rPr>
                <w:rFonts w:ascii="Consolas" w:cs="Consolas" w:eastAsia="Consolas" w:hAnsi="Consolas"/>
                <w:color w:val="1A1A1A"/>
                <w:sz w:val="19"/>
                <w:szCs w:val="19"/>
              </w:rPr>
              <w:t xml:space="preserve">   ├─ App‑B</w:t>
            </w:r>
          </w:p>
          <w:p>
            <w:pPr>
              <w:spacing w:after="20" w:line="252"/>
              <w:jc w:val="left"/>
            </w:pPr>
            <w:r>
              <w:rPr>
                <w:rFonts w:ascii="Consolas" w:cs="Consolas" w:eastAsia="Consolas" w:hAnsi="Consolas"/>
                <w:color w:val="1A1A1A"/>
                <w:sz w:val="19"/>
                <w:szCs w:val="19"/>
              </w:rPr>
              <w:t xml:space="preserve">   ├─ Data‑Platforms</w:t>
            </w:r>
          </w:p>
          <w:p>
            <w:pPr>
              <w:spacing w:after="0" w:line="252"/>
              <w:jc w:val="left"/>
            </w:pPr>
            <w:r>
              <w:rPr>
                <w:rFonts w:ascii="Consolas" w:cs="Consolas" w:eastAsia="Consolas" w:hAnsi="Consolas"/>
                <w:color w:val="1A1A1A"/>
                <w:sz w:val="19"/>
                <w:szCs w:val="19"/>
              </w:rPr>
              <w:t xml:space="preserve">   └─ Restricted / Regulated</w:t>
            </w:r>
          </w:p>
        </w:tc>
      </w:tr>
    </w:tbl>
    <w:p>
      <w:pPr>
        <w:spacing w:after="120"/>
      </w:pPr>
    </w:p>
    <w:p>
      <w:pPr>
        <w:pStyle w:val="Heading1"/>
        <w:numPr>
          <w:ilvl w:val="0"/>
          <w:numId w:val="2"/>
        </w:numPr>
        <w:bidi/>
        <w:spacing w:after="140" w:before="360"/>
        <w:jc w:val="right"/>
      </w:pPr>
      <w:r>
        <w:rPr>
          <w:rFonts w:ascii="Arial" w:cs="Arial" w:eastAsia="Arial" w:hAnsi="Arial"/>
          <w:b/>
          <w:bCs/>
          <w:i w:val="false"/>
          <w:iCs w:val="false"/>
          <w:color w:val="1F3864"/>
          <w:sz w:val="22"/>
          <w:szCs w:val="22"/>
          <w:rtl/>
        </w:rPr>
        <w:t xml:space="preserve">נספח – מקורות שהנחו את המדיניות</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OCI Core Landing Zone ו‑Landing Zones Overview (Oracle Documentation)</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Deploy a Secure Landing Zone That Meets the CIS Foundations Benchmark for Oracle Cloud (Oracle Solution)</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OCI Landing Zones modules: Networking, Security, Governance, Observability, Secure Workloads (GitHub)</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Overview of Security Zones, Bastion, Vulnerability Scanning, Tag Defaults, Cost‑Tracking Tags, Budgets (Oracle Documentation)</w:t>
      </w:r>
    </w:p>
    <w:p>
      <w:pPr>
        <w:pStyle w:val="ListParagraph"/>
        <w:numPr>
          <w:ilvl w:val="1"/>
          <w:numId w:val="2"/>
        </w:numPr>
        <w:bidi/>
        <w:spacing w:after="60" w:line="276"/>
        <w:ind w:right="720" w:hanging="440"/>
        <w:jc w:val="right"/>
      </w:pPr>
      <w:r>
        <w:rPr>
          <w:rFonts w:ascii="Arial" w:cs="Arial" w:eastAsia="Arial" w:hAnsi="Arial"/>
          <w:b w:val="false"/>
          <w:bCs w:val="false"/>
          <w:i w:val="false"/>
          <w:iCs w:val="false"/>
          <w:sz w:val="22"/>
          <w:szCs w:val="22"/>
          <w:rtl/>
        </w:rPr>
        <w:t xml:space="preserve">מסמך השאלות למדיניות הגנה בענן שהועלה לשיחה – שימש כבסיס מתודולוגי למבנה מדיניות ולשאלות הבקרה.</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D0" w:sz="4" w:space="4"/>
      </w:pBdr>
      <w:bidi/>
      <w:jc w:val="center"/>
    </w:pPr>
    <w:r>
      <w:rPr>
        <w:rFonts w:ascii="Arial" w:cs="Arial" w:eastAsia="Arial" w:hAnsi="Arial"/>
        <w:b w:val="false"/>
        <w:bCs w:val="false"/>
        <w:i w:val="false"/>
        <w:iCs w:val="false"/>
        <w:color w:val="404040"/>
        <w:sz w:val="14"/>
        <w:szCs w:val="14"/>
        <w:rtl/>
      </w:rPr>
      <w:t xml:space="preserve">Internal / Confidential  ·  גרסה 1.0</w:t>
    </w:r>
    <w:r>
      <w:rPr>
        <w:rFonts w:ascii="Arial" w:cs="Arial" w:eastAsia="Arial" w:hAnsi="Arial"/>
        <w:sz w:val="14"/>
        <w:szCs w:val="14"/>
      </w:rPr>
      <w:t xml:space="preserv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bidi/>
      <w:jc w:val="right"/>
    </w:pPr>
    <w:r>
      <w:rPr>
        <w:rFonts w:ascii="Arial" w:cs="Arial" w:eastAsia="Arial" w:hAnsi="Arial"/>
        <w:b w:val="false"/>
        <w:bCs w:val="false"/>
        <w:i w:val="false"/>
        <w:iCs w:val="false"/>
        <w:color w:val="2E5597"/>
        <w:sz w:val="16"/>
        <w:szCs w:val="16"/>
        <w:rtl/>
      </w:rPr>
      <w:t xml:space="preserve">מדיניות הגנה וארכיטקטורת יעד ל‑OCI בענן הציבורי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right"/>
      <w:pPr>
        <w:ind w:right="0"/>
      </w:pPr>
    </w:lvl>
    <w:lvl w:ilvl="1" w15:tentative="1">
      <w:start w:val="1"/>
      <w:numFmt w:val="decimal"/>
      <w:suff w:val="tab"/>
      <w:lvlText w:val="%1.%2"/>
      <w:lvlJc w:val="right"/>
      <w:pPr>
        <w:ind w:right="720" w:hanging="440"/>
      </w:pPr>
    </w:lvl>
    <w:lvl w:ilvl="2" w15:tentative="1">
      <w:start w:val="1"/>
      <w:numFmt w:val="decimal"/>
      <w:suff w:val="tab"/>
      <w:lvlText w:val="%1.%2.%3"/>
      <w:lvlJc w:val="right"/>
      <w:pPr>
        <w:ind w:right="1060" w:hanging="5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60" w:before="20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מדיניות הגנה וארכיטקטורת יעד ל‑OCI בענן הציבורי</dc:title>
  <dc:creator>OCI Policy</dc:creator>
  <cp:lastModifiedBy>Un-named</cp:lastModifiedBy>
  <cp:revision>1</cp:revision>
  <dcterms:created xsi:type="dcterms:W3CDTF">2026-06-15T09:12:03.038Z</dcterms:created>
  <dcterms:modified xsi:type="dcterms:W3CDTF">2026-06-15T09:12:03.038Z</dcterms:modified>
</cp:coreProperties>
</file>

<file path=docProps/custom.xml><?xml version="1.0" encoding="utf-8"?>
<Properties xmlns="http://schemas.openxmlformats.org/officeDocument/2006/custom-properties" xmlns:vt="http://schemas.openxmlformats.org/officeDocument/2006/docPropsVTypes"/>
</file>