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200" w:before="200"/>
        <w:jc w:val="right"/>
      </w:pPr>
      <w:r>
        <w:rPr>
          <w:rFonts w:ascii="Arial" w:cs="Arial" w:eastAsia="Arial" w:hAnsi="Arial"/>
          <w:b/>
          <w:bCs/>
          <w:i w:val="false"/>
          <w:iCs w:val="false"/>
          <w:color w:val="1F3864"/>
          <w:sz w:val="34"/>
          <w:szCs w:val="34"/>
          <w:rtl/>
        </w:rPr>
        <w:t xml:space="preserve">Security Command Center — הכלי, מטרתו ורבדי הרישוי</w:t>
      </w:r>
    </w:p>
    <w:p>
      <w:pPr>
        <w:pStyle w:val="Heading2"/>
        <w:bidi/>
        <w:spacing w:after="140" w:before="340"/>
        <w:jc w:val="right"/>
      </w:pPr>
      <w:r>
        <w:rPr>
          <w:rFonts w:ascii="Arial" w:cs="Arial" w:eastAsia="Arial" w:hAnsi="Arial"/>
          <w:b/>
          <w:bCs/>
          <w:i w:val="false"/>
          <w:iCs w:val="false"/>
          <w:color w:val="1F3864"/>
          <w:sz w:val="27"/>
          <w:szCs w:val="27"/>
          <w:rtl/>
        </w:rPr>
        <w:t xml:space="preserve">מהו הכלי ומה מטרתו</w:t>
      </w:r>
    </w:p>
    <w:p>
      <w:pPr>
        <w:bidi/>
        <w:spacing w:after="130" w:line="280"/>
        <w:jc w:val="right"/>
      </w:pPr>
      <w:r>
        <w:rPr>
          <w:rFonts w:ascii="Arial" w:cs="Arial" w:eastAsia="Arial" w:hAnsi="Arial"/>
          <w:b w:val="false"/>
          <w:bCs w:val="false"/>
          <w:i w:val="false"/>
          <w:iCs w:val="false"/>
          <w:sz w:val="21"/>
          <w:szCs w:val="21"/>
          <w:rtl/>
        </w:rPr>
        <w:t xml:space="preserve">Security Command Center הוא פתרון ניהול הסיכונים המרכזי של Google Cloud. Google מגדירה אותו כפתרון מבוסס ענן המסייע לאנשי אבטחה למנוע איומים, לזהות אותם ולהגיב להם. בפועל הוא מאחד תחת ממשק אחד את מה שבארגונים רבים מפוזר בין מספר כלים: ניהול תנוחת אבטחה (CSPM), הגנה על עומסי עבודה, ניהול פגיעויות, ניטור תאימות וזיהוי איומים בזמן ריצה.</w:t>
      </w:r>
    </w:p>
    <w:p>
      <w:pPr>
        <w:bidi/>
        <w:spacing w:after="130" w:line="280"/>
        <w:jc w:val="right"/>
      </w:pPr>
      <w:r>
        <w:rPr>
          <w:rFonts w:ascii="Arial" w:cs="Arial" w:eastAsia="Arial" w:hAnsi="Arial"/>
          <w:b w:val="false"/>
          <w:bCs w:val="false"/>
          <w:i w:val="false"/>
          <w:iCs w:val="false"/>
          <w:sz w:val="21"/>
          <w:szCs w:val="21"/>
          <w:rtl/>
        </w:rPr>
        <w:t xml:space="preserve">מטרתו אינה לייצר עוד רשימת ממצאים, אלא להפוך את הממצאים לתמונת סיכון שניתן לפעול לפיה. השירות סורק באופן מתמשך את המשאבים בארגון, מצליב בין ליקויי תצורה, פגיעויות, הרשאות עודפות ואיומים פעילים, ומדרג את הממצאים לפי מידת החשיפה בפועל של הנכסים בעלי הערך הגבוה.</w:t>
      </w:r>
    </w:p>
    <w:p>
      <w:pPr>
        <w:bidi/>
        <w:spacing w:after="80" w:line="280"/>
        <w:jc w:val="right"/>
      </w:pPr>
      <w:r>
        <w:rPr>
          <w:rFonts w:ascii="Arial" w:cs="Arial" w:eastAsia="Arial" w:hAnsi="Arial"/>
          <w:b w:val="false"/>
          <w:bCs w:val="false"/>
          <w:i w:val="false"/>
          <w:iCs w:val="false"/>
          <w:sz w:val="21"/>
          <w:szCs w:val="21"/>
          <w:rtl/>
        </w:rPr>
        <w:t xml:space="preserve">ארבעה שימושים מרכזיים מצדיקים את הפעלתו:</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נראות מרכזית — מלאי נכסים וממצאי אבטחה על פני כל הפרויקטים והתיקיות בארגון, בתצוגה אחת.</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זיהוי ליקויי תצורה ופגיעויות — סריקה מנוהלת המזהה חשיפות והגדרות שגויות במשאבי Google Cloud, כולל מיפוי אוטומטי מול תקנים מקובלים.</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תעדוף מבוסס סיכון — במקום לטפל בממצאים לפי חומרה תיאורטית, השירות מדמה נתיבי תקיפה אפשריים ומזהה צירופים מסוכנים המובילים לנכסים קריטיים.</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זיהוי איומים ותגובה — ניטור בזמן ריצה של מכונות, קונטיינרים ולוגים, לצד יכולות חקירה ותגובה.</w:t>
      </w:r>
    </w:p>
    <w:p>
      <w:pPr>
        <w:pStyle w:val="Heading2"/>
        <w:bidi/>
        <w:spacing w:after="140" w:before="340"/>
        <w:jc w:val="right"/>
      </w:pPr>
      <w:r>
        <w:rPr>
          <w:rFonts w:ascii="Arial" w:cs="Arial" w:eastAsia="Arial" w:hAnsi="Arial"/>
          <w:b/>
          <w:bCs/>
          <w:i w:val="false"/>
          <w:iCs w:val="false"/>
          <w:color w:val="1F3864"/>
          <w:sz w:val="27"/>
          <w:szCs w:val="27"/>
          <w:rtl/>
        </w:rPr>
        <w:t xml:space="preserve">רבדי הרישוי</w:t>
      </w:r>
    </w:p>
    <w:p>
      <w:pPr>
        <w:pBdr>
          <w:top w:val="single" w:color="E0A800" w:sz="4"/>
          <w:bottom w:val="single" w:color="E0A800" w:sz="4"/>
          <w:left w:val="single" w:color="E0A800" w:sz="4"/>
          <w:right w:val="single" w:color="E0A800" w:sz="4"/>
        </w:pBdr>
        <w:shd w:fill="FFF6E0" w:val="clear"/>
        <w:bidi/>
        <w:spacing w:after="180" w:before="140" w:line="260"/>
        <w:jc w:val="right"/>
      </w:pPr>
      <w:r>
        <w:rPr>
          <w:rFonts w:ascii="Arial" w:cs="Arial" w:eastAsia="Arial" w:hAnsi="Arial"/>
          <w:b/>
          <w:bCs/>
          <w:i w:val="false"/>
          <w:iCs w:val="false"/>
          <w:sz w:val="20"/>
          <w:szCs w:val="20"/>
          <w:rtl/>
        </w:rPr>
        <w:t xml:space="preserve">עדכון מהותי לפני קבלת החלטת רישוי: </w:t>
      </w:r>
      <w:r>
        <w:rPr>
          <w:rFonts w:ascii="Arial" w:cs="Arial" w:eastAsia="Arial" w:hAnsi="Arial"/>
          <w:b w:val="false"/>
          <w:bCs w:val="false"/>
          <w:i w:val="false"/>
          <w:iCs w:val="false"/>
          <w:sz w:val="20"/>
          <w:szCs w:val="20"/>
          <w:rtl/>
        </w:rPr>
        <w:t xml:space="preserve">רובד ה־Enterprise סומן על ידי Google כמיושן (Deprecated) והוא ייסגר ב־21 במאי 2027. ארגונים שמשתמשים בו יועברו אוטומטית לרובד Premium במועד זה או לאחריו. אין להמליץ כיום על רכישת Enterprise כרובד יעד, ולקוחות המחזיקים בו צריכים לתכנן מעבר. הנתונים במסמך זה נכונים ל־10.08.2026.</w:t>
      </w:r>
    </w:p>
    <w:p>
      <w:pPr>
        <w:bidi/>
        <w:spacing w:after="130" w:line="280"/>
        <w:jc w:val="right"/>
      </w:pPr>
      <w:r>
        <w:rPr>
          <w:rFonts w:ascii="Arial" w:cs="Arial" w:eastAsia="Arial" w:hAnsi="Arial"/>
          <w:b w:val="false"/>
          <w:bCs w:val="false"/>
          <w:i w:val="false"/>
          <w:iCs w:val="false"/>
          <w:sz w:val="21"/>
          <w:szCs w:val="21"/>
          <w:rtl/>
        </w:rPr>
        <w:t xml:space="preserve">השירות מוצע בארבעה רבדים. Standard-legacy הוא הרובד הישן, ש־Google החלה להעביר לרובד Standard החדש ב־11 בפברואר 2026 — חלק מהארגונים כבר עברו וחלק עדיין לא. שני הרבדים מופיעים בטבלה מכיוון שבמצב הביניים הנוכחי ייתכן שכל אחד מהם יופיע בסביבת הלקוח.</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106"/>
        <w:gridCol w:w="1900"/>
        <w:gridCol w:w="1900"/>
      </w:tblGrid>
      <w:tr>
        <w:trPr>
          <w:tblHeader/>
        </w:trPr>
        <w:tc>
          <w:tcPr>
            <w:tcW w:type="dxa" w:w="1800"/>
            <w:tcBorders>
              <w:top w:val="single" w:color="B4C0D0" w:sz="3"/>
              <w:left w:val="single" w:color="B4C0D0" w:sz="3"/>
              <w:bottom w:val="single" w:color="B4C0D0" w:sz="3"/>
              <w:right w:val="single" w:color="B4C0D0" w:sz="3"/>
            </w:tcBorders>
            <w:shd w:fill="1F3864" w:val="clear"/>
            <w:tcMar>
              <w:top w:type="dxa" w:w="60"/>
              <w:left w:type="dxa" w:w="85"/>
              <w:bottom w:type="dxa" w:w="60"/>
              <w:right w:type="dxa" w:w="85"/>
            </w:tcMar>
            <w:vAlign w:val="center"/>
          </w:tcPr>
          <w:p>
            <w:pPr>
              <w:bidi/>
              <w:spacing w:after="0"/>
              <w:jc w:val="center"/>
            </w:pPr>
            <w:r>
              <w:rPr>
                <w:rFonts w:ascii="Arial" w:cs="Arial" w:eastAsia="Arial" w:hAnsi="Arial"/>
                <w:b/>
                <w:bCs/>
                <w:i w:val="false"/>
                <w:iCs w:val="false"/>
                <w:color w:val="FFFFFF"/>
                <w:sz w:val="19"/>
                <w:szCs w:val="19"/>
                <w:rtl/>
              </w:rPr>
              <w:t xml:space="preserve">הרובד</w:t>
            </w:r>
          </w:p>
        </w:tc>
        <w:tc>
          <w:tcPr>
            <w:tcW w:type="dxa" w:w="4106"/>
            <w:tcBorders>
              <w:top w:val="single" w:color="B4C0D0" w:sz="3"/>
              <w:left w:val="single" w:color="B4C0D0" w:sz="3"/>
              <w:bottom w:val="single" w:color="B4C0D0" w:sz="3"/>
              <w:right w:val="single" w:color="B4C0D0" w:sz="3"/>
            </w:tcBorders>
            <w:shd w:fill="1F3864" w:val="clear"/>
            <w:tcMar>
              <w:top w:type="dxa" w:w="60"/>
              <w:left w:type="dxa" w:w="85"/>
              <w:bottom w:type="dxa" w:w="60"/>
              <w:right w:type="dxa" w:w="85"/>
            </w:tcMar>
            <w:vAlign w:val="center"/>
          </w:tcPr>
          <w:p>
            <w:pPr>
              <w:bidi/>
              <w:spacing w:after="0"/>
              <w:jc w:val="center"/>
            </w:pPr>
            <w:r>
              <w:rPr>
                <w:rFonts w:ascii="Arial" w:cs="Arial" w:eastAsia="Arial" w:hAnsi="Arial"/>
                <w:b/>
                <w:bCs/>
                <w:i w:val="false"/>
                <w:iCs w:val="false"/>
                <w:color w:val="FFFFFF"/>
                <w:sz w:val="19"/>
                <w:szCs w:val="19"/>
                <w:rtl/>
              </w:rPr>
              <w:t xml:space="preserve">היקף הכיסוי</w:t>
            </w:r>
          </w:p>
        </w:tc>
        <w:tc>
          <w:tcPr>
            <w:tcW w:type="dxa" w:w="1900"/>
            <w:tcBorders>
              <w:top w:val="single" w:color="B4C0D0" w:sz="3"/>
              <w:left w:val="single" w:color="B4C0D0" w:sz="3"/>
              <w:bottom w:val="single" w:color="B4C0D0" w:sz="3"/>
              <w:right w:val="single" w:color="B4C0D0" w:sz="3"/>
            </w:tcBorders>
            <w:shd w:fill="1F3864" w:val="clear"/>
            <w:tcMar>
              <w:top w:type="dxa" w:w="60"/>
              <w:left w:type="dxa" w:w="85"/>
              <w:bottom w:type="dxa" w:w="60"/>
              <w:right w:type="dxa" w:w="85"/>
            </w:tcMar>
            <w:vAlign w:val="center"/>
          </w:tcPr>
          <w:p>
            <w:pPr>
              <w:bidi/>
              <w:spacing w:after="0"/>
              <w:jc w:val="center"/>
            </w:pPr>
            <w:r>
              <w:rPr>
                <w:rFonts w:ascii="Arial" w:cs="Arial" w:eastAsia="Arial" w:hAnsi="Arial"/>
                <w:b/>
                <w:bCs/>
                <w:i w:val="false"/>
                <w:iCs w:val="false"/>
                <w:color w:val="FFFFFF"/>
                <w:sz w:val="19"/>
                <w:szCs w:val="19"/>
                <w:rtl/>
              </w:rPr>
              <w:t xml:space="preserve">רמת הפעלה</w:t>
            </w:r>
          </w:p>
        </w:tc>
        <w:tc>
          <w:tcPr>
            <w:tcW w:type="dxa" w:w="1900"/>
            <w:tcBorders>
              <w:top w:val="single" w:color="B4C0D0" w:sz="3"/>
              <w:left w:val="single" w:color="B4C0D0" w:sz="3"/>
              <w:bottom w:val="single" w:color="B4C0D0" w:sz="3"/>
              <w:right w:val="single" w:color="B4C0D0" w:sz="3"/>
            </w:tcBorders>
            <w:shd w:fill="1F3864" w:val="clear"/>
            <w:tcMar>
              <w:top w:type="dxa" w:w="60"/>
              <w:left w:type="dxa" w:w="85"/>
              <w:bottom w:type="dxa" w:w="60"/>
              <w:right w:type="dxa" w:w="85"/>
            </w:tcMar>
            <w:vAlign w:val="center"/>
          </w:tcPr>
          <w:p>
            <w:pPr>
              <w:bidi/>
              <w:spacing w:after="0"/>
              <w:jc w:val="center"/>
            </w:pPr>
            <w:r>
              <w:rPr>
                <w:rFonts w:ascii="Arial" w:cs="Arial" w:eastAsia="Arial" w:hAnsi="Arial"/>
                <w:b/>
                <w:bCs/>
                <w:i w:val="false"/>
                <w:iCs w:val="false"/>
                <w:color w:val="FFFFFF"/>
                <w:sz w:val="19"/>
                <w:szCs w:val="19"/>
                <w:rtl/>
              </w:rPr>
              <w:t xml:space="preserve">מודל תמחור</w:t>
            </w:r>
          </w:p>
        </w:tc>
      </w:tr>
      <w:tr>
        <w:tc>
          <w:tcPr>
            <w:tcW w:type="dxa" w:w="18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Standard-legacy</w:t>
            </w:r>
          </w:p>
        </w:tc>
        <w:tc>
          <w:tcPr>
            <w:tcW w:type="dxa" w:w="4106"/>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ניהול תנוחת אבטחה ותאימות בסיסי, ל־Google Cloud בלבד. הרובד הישן, בתהליך העברה ל־Standard.</w:t>
            </w:r>
          </w:p>
        </w:tc>
        <w:tc>
          <w:tcPr>
            <w:tcW w:type="dxa" w:w="19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ארגון</w:t>
            </w:r>
          </w:p>
        </w:tc>
        <w:tc>
          <w:tcPr>
            <w:tcW w:type="dxa" w:w="19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ללא תשלום</w:t>
            </w:r>
          </w:p>
        </w:tc>
      </w:tr>
      <w:tr>
        <w:tc>
          <w:tcPr>
            <w:tcW w:type="dxa" w:w="18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Standard</w:t>
            </w:r>
          </w:p>
        </w:tc>
        <w:tc>
          <w:tcPr>
            <w:tcW w:type="dxa" w:w="4106"/>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ניהול תנוחת אבטחה ותאימות בסיסי, ל־Google Cloud בלבד. מתאים לסביבות עם דרישות אבטחה מינימליות.</w:t>
            </w:r>
          </w:p>
        </w:tc>
        <w:tc>
          <w:tcPr>
            <w:tcW w:type="dxa" w:w="19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ארגון</w:t>
            </w:r>
          </w:p>
        </w:tc>
        <w:tc>
          <w:tcPr>
            <w:tcW w:type="dxa" w:w="19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ללא תשלום</w:t>
            </w:r>
          </w:p>
        </w:tc>
      </w:tr>
      <w:tr>
        <w:tc>
          <w:tcPr>
            <w:tcW w:type="dxa" w:w="18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Premium</w:t>
            </w:r>
          </w:p>
        </w:tc>
        <w:tc>
          <w:tcPr>
            <w:tcW w:type="dxa" w:w="4106"/>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כל מה שב־Standard, ובנוסף ניהול תנוחה מתקדם, נתיבי תקיפה, זיהוי איומים וניטור תאימות — ל־Google Cloud בלבד.</w:t>
            </w:r>
          </w:p>
        </w:tc>
        <w:tc>
          <w:tcPr>
            <w:tcW w:type="dxa" w:w="19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ארגון או פרויקט</w:t>
            </w:r>
          </w:p>
        </w:tc>
        <w:tc>
          <w:tcPr>
            <w:tcW w:type="dxa" w:w="19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מנוי בתמחור קבוע, או Pay-as-you-go</w:t>
            </w:r>
          </w:p>
        </w:tc>
      </w:tr>
      <w:tr>
        <w:tc>
          <w:tcPr>
            <w:tcW w:type="dxa" w:w="18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Enterprise (מיושן)</w:t>
            </w:r>
          </w:p>
        </w:tc>
        <w:tc>
          <w:tcPr>
            <w:tcW w:type="dxa" w:w="4106"/>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אבטחת CNAPP רב־עננית מלאה, כולל AWS ו־Azure. כולל את רוב השירותים שב־Premium. ייסגר ב־21.05.2027.</w:t>
            </w:r>
          </w:p>
        </w:tc>
        <w:tc>
          <w:tcPr>
            <w:tcW w:type="dxa" w:w="19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ארגון בלבד</w:t>
            </w:r>
          </w:p>
        </w:tc>
        <w:tc>
          <w:tcPr>
            <w:tcW w:type="dxa" w:w="19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val="false"/>
                <w:bCs w:val="false"/>
                <w:i w:val="false"/>
                <w:iCs w:val="false"/>
                <w:sz w:val="18"/>
                <w:szCs w:val="18"/>
                <w:rtl/>
              </w:rPr>
              <w:t xml:space="preserve">מנוי בתמחור קבוע</w:t>
            </w:r>
          </w:p>
        </w:tc>
      </w:tr>
    </w:tbl>
    <w:p>
      <w:pPr>
        <w:pStyle w:val="Heading2"/>
        <w:bidi/>
        <w:spacing w:after="140" w:before="340"/>
        <w:jc w:val="right"/>
      </w:pPr>
      <w:r>
        <w:rPr>
          <w:rFonts w:ascii="Arial" w:cs="Arial" w:eastAsia="Arial" w:hAnsi="Arial"/>
          <w:b/>
          <w:bCs/>
          <w:i w:val="false"/>
          <w:iCs w:val="false"/>
          <w:color w:val="1F3864"/>
          <w:sz w:val="27"/>
          <w:szCs w:val="27"/>
          <w:rtl/>
        </w:rPr>
        <w:t xml:space="preserve">השוואת יכולות מרכזיות</w:t>
      </w:r>
    </w:p>
    <w:p>
      <w:pPr>
        <w:bidi/>
        <w:spacing w:after="130" w:line="280"/>
        <w:jc w:val="right"/>
      </w:pPr>
      <w:r>
        <w:rPr>
          <w:rFonts w:ascii="Arial" w:cs="Arial" w:eastAsia="Arial" w:hAnsi="Arial"/>
          <w:b w:val="false"/>
          <w:bCs w:val="false"/>
          <w:i w:val="false"/>
          <w:iCs w:val="false"/>
          <w:sz w:val="21"/>
          <w:szCs w:val="21"/>
          <w:rtl/>
        </w:rPr>
        <w:t xml:space="preserve">הטבלה מתמקדת ביכולות שמבדילות בין הרבדים ומשפיעות על החלטת הרכש. הערך "מוגבל" מציין יכולת הזמינה ברובד Standard בהיקף מצומצם בלבד.</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1802"/>
        <w:gridCol w:w="1802"/>
        <w:gridCol w:w="1802"/>
      </w:tblGrid>
      <w:tr>
        <w:trPr>
          <w:tblHeader/>
        </w:trPr>
        <w:tc>
          <w:tcPr>
            <w:tcW w:type="dxa" w:w="4300"/>
            <w:tcBorders>
              <w:top w:val="single" w:color="B4C0D0" w:sz="3"/>
              <w:left w:val="single" w:color="B4C0D0" w:sz="3"/>
              <w:bottom w:val="single" w:color="B4C0D0" w:sz="3"/>
              <w:right w:val="single" w:color="B4C0D0" w:sz="3"/>
            </w:tcBorders>
            <w:shd w:fill="1F3864" w:val="clear"/>
            <w:tcMar>
              <w:top w:type="dxa" w:w="60"/>
              <w:left w:type="dxa" w:w="85"/>
              <w:bottom w:type="dxa" w:w="60"/>
              <w:right w:type="dxa" w:w="85"/>
            </w:tcMar>
            <w:vAlign w:val="center"/>
          </w:tcPr>
          <w:p>
            <w:pPr>
              <w:bidi/>
              <w:spacing w:after="0"/>
              <w:jc w:val="center"/>
            </w:pPr>
            <w:r>
              <w:rPr>
                <w:rFonts w:ascii="Arial" w:cs="Arial" w:eastAsia="Arial" w:hAnsi="Arial"/>
                <w:b/>
                <w:bCs/>
                <w:i w:val="false"/>
                <w:iCs w:val="false"/>
                <w:color w:val="FFFFFF"/>
                <w:sz w:val="19"/>
                <w:szCs w:val="19"/>
                <w:rtl/>
              </w:rPr>
              <w:t xml:space="preserve">היכולת</w:t>
            </w:r>
          </w:p>
        </w:tc>
        <w:tc>
          <w:tcPr>
            <w:tcW w:type="dxa" w:w="1802"/>
            <w:tcBorders>
              <w:top w:val="single" w:color="B4C0D0" w:sz="3"/>
              <w:left w:val="single" w:color="B4C0D0" w:sz="3"/>
              <w:bottom w:val="single" w:color="B4C0D0" w:sz="3"/>
              <w:right w:val="single" w:color="B4C0D0" w:sz="3"/>
            </w:tcBorders>
            <w:shd w:fill="1F3864" w:val="clear"/>
            <w:tcMar>
              <w:top w:type="dxa" w:w="60"/>
              <w:left w:type="dxa" w:w="85"/>
              <w:bottom w:type="dxa" w:w="60"/>
              <w:right w:type="dxa" w:w="85"/>
            </w:tcMar>
            <w:vAlign w:val="center"/>
          </w:tcPr>
          <w:p>
            <w:pPr>
              <w:bidi/>
              <w:spacing w:after="0"/>
              <w:jc w:val="center"/>
            </w:pPr>
            <w:r>
              <w:rPr>
                <w:rFonts w:ascii="Arial" w:cs="Arial" w:eastAsia="Arial" w:hAnsi="Arial"/>
                <w:b/>
                <w:bCs/>
                <w:i w:val="false"/>
                <w:iCs w:val="false"/>
                <w:color w:val="FFFFFF"/>
                <w:sz w:val="19"/>
                <w:szCs w:val="19"/>
                <w:rtl/>
              </w:rPr>
              <w:t xml:space="preserve">Standard</w:t>
            </w:r>
          </w:p>
        </w:tc>
        <w:tc>
          <w:tcPr>
            <w:tcW w:type="dxa" w:w="1802"/>
            <w:tcBorders>
              <w:top w:val="single" w:color="B4C0D0" w:sz="3"/>
              <w:left w:val="single" w:color="B4C0D0" w:sz="3"/>
              <w:bottom w:val="single" w:color="B4C0D0" w:sz="3"/>
              <w:right w:val="single" w:color="B4C0D0" w:sz="3"/>
            </w:tcBorders>
            <w:shd w:fill="1F3864" w:val="clear"/>
            <w:tcMar>
              <w:top w:type="dxa" w:w="60"/>
              <w:left w:type="dxa" w:w="85"/>
              <w:bottom w:type="dxa" w:w="60"/>
              <w:right w:type="dxa" w:w="85"/>
            </w:tcMar>
            <w:vAlign w:val="center"/>
          </w:tcPr>
          <w:p>
            <w:pPr>
              <w:bidi/>
              <w:spacing w:after="0"/>
              <w:jc w:val="center"/>
            </w:pPr>
            <w:r>
              <w:rPr>
                <w:rFonts w:ascii="Arial" w:cs="Arial" w:eastAsia="Arial" w:hAnsi="Arial"/>
                <w:b/>
                <w:bCs/>
                <w:i w:val="false"/>
                <w:iCs w:val="false"/>
                <w:color w:val="FFFFFF"/>
                <w:sz w:val="19"/>
                <w:szCs w:val="19"/>
                <w:rtl/>
              </w:rPr>
              <w:t xml:space="preserve">Premium</w:t>
            </w:r>
          </w:p>
        </w:tc>
        <w:tc>
          <w:tcPr>
            <w:tcW w:type="dxa" w:w="1802"/>
            <w:tcBorders>
              <w:top w:val="single" w:color="B4C0D0" w:sz="3"/>
              <w:left w:val="single" w:color="B4C0D0" w:sz="3"/>
              <w:bottom w:val="single" w:color="B4C0D0" w:sz="3"/>
              <w:right w:val="single" w:color="B4C0D0" w:sz="3"/>
            </w:tcBorders>
            <w:shd w:fill="1F3864" w:val="clear"/>
            <w:tcMar>
              <w:top w:type="dxa" w:w="60"/>
              <w:left w:type="dxa" w:w="85"/>
              <w:bottom w:type="dxa" w:w="60"/>
              <w:right w:type="dxa" w:w="85"/>
            </w:tcMar>
            <w:vAlign w:val="center"/>
          </w:tcPr>
          <w:p>
            <w:pPr>
              <w:bidi/>
              <w:spacing w:after="0"/>
              <w:jc w:val="center"/>
            </w:pPr>
            <w:r>
              <w:rPr>
                <w:rFonts w:ascii="Arial" w:cs="Arial" w:eastAsia="Arial" w:hAnsi="Arial"/>
                <w:b/>
                <w:bCs/>
                <w:i w:val="false"/>
                <w:iCs w:val="false"/>
                <w:color w:val="FFFFFF"/>
                <w:sz w:val="19"/>
                <w:szCs w:val="19"/>
                <w:rtl/>
              </w:rPr>
              <w:t xml:space="preserve">Enterprise</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Security Health Analytics — סריקת ליקויי תצורה</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8A6100"/>
                <w:sz w:val="18"/>
                <w:szCs w:val="18"/>
                <w:rtl/>
              </w:rPr>
              <w:t xml:space="preserve">מוגבל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ניטור תאימות מול תקנים (CIS, NIST, PCI-DSS, ISO)</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מודולים מותאמים אישית לזיהוי</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Event Threat Detection — זיהוי איומים מלוגים</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Container / VM / Cloud Run Threat Detection</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Sensitive Actions — זיהוי פעולות רגישות</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סימולציית נתיבי תקיפה וציוני חשיפה</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Toxic Combinations ו־Chokepoints</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Web Security Scanner — סריקות מנוהלות ומותאמות</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Security Posture — ניהול תנוחה ומעקב סחיפה</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Compliance Manager</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8A6100"/>
                <w:sz w:val="18"/>
                <w:szCs w:val="18"/>
                <w:rtl/>
              </w:rPr>
              <w:t xml:space="preserve">מוגבל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Data Security Posture Management (DSPM)</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8A6100"/>
                <w:sz w:val="18"/>
                <w:szCs w:val="18"/>
                <w:rtl/>
              </w:rPr>
              <w:t xml:space="preserve">מוגבל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AI Protection</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8A6100"/>
                <w:sz w:val="18"/>
                <w:szCs w:val="18"/>
                <w:rtl/>
              </w:rPr>
              <w:t xml:space="preserve">מוגבל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Mandiant CVE Assessments</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8A6100"/>
                <w:sz w:val="18"/>
                <w:szCs w:val="18"/>
                <w:rtl/>
              </w:rPr>
              <w:t xml:space="preserve">מוגבל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Model Armor — סינון prompts ותשובות</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PAM — אישור רב־שלבי והתאמת היקף הבקשה</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ייצוא ל־BigQuery ול־Pub/Sub</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CIEM — ניהול הרשאות עודפות בזהויות</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Google SecOps — SIEM ו־SOAR משולבים</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Mandiant Attack Surface Management</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Mandiant Threat Defense — ציד איומים מנוהל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Vulnerability Assessment for AWS</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shd w:fill="EEF2F7" w:val="clear"/>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r>
        <w:tc>
          <w:tcPr>
            <w:tcW w:type="dxa" w:w="4300"/>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right"/>
            </w:pPr>
            <w:r>
              <w:rPr>
                <w:rFonts w:ascii="Arial" w:cs="Arial" w:eastAsia="Arial" w:hAnsi="Arial"/>
                <w:b/>
                <w:bCs/>
                <w:i w:val="false"/>
                <w:iCs w:val="false"/>
                <w:sz w:val="18"/>
                <w:szCs w:val="18"/>
                <w:rtl/>
              </w:rPr>
              <w:t xml:space="preserve">תמיכה רב־עננית (AWS, Azure)</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color w:val="9A9A9A"/>
                <w:sz w:val="18"/>
                <w:szCs w:val="18"/>
                <w:rtl/>
              </w:rPr>
              <w:t xml:space="preserve">לא כלול</w:t>
            </w:r>
          </w:p>
        </w:tc>
        <w:tc>
          <w:tcPr>
            <w:tcW w:type="dxa" w:w="1802"/>
            <w:tcBorders>
              <w:top w:val="single" w:color="B4C0D0" w:sz="3"/>
              <w:left w:val="single" w:color="B4C0D0" w:sz="3"/>
              <w:bottom w:val="single" w:color="B4C0D0" w:sz="3"/>
              <w:right w:val="single" w:color="B4C0D0" w:sz="3"/>
            </w:tcBorders>
            <w:tcMar>
              <w:top w:type="dxa" w:w="55"/>
              <w:left w:type="dxa" w:w="85"/>
              <w:bottom w:type="dxa" w:w="55"/>
              <w:right w:type="dxa" w:w="85"/>
            </w:tcMar>
            <w:vAlign w:val="top"/>
          </w:tcPr>
          <w:p>
            <w:pPr>
              <w:bidi/>
              <w:spacing w:after="0" w:line="235"/>
              <w:jc w:val="center"/>
            </w:pPr>
            <w:r>
              <w:rPr>
                <w:rFonts w:ascii="Arial" w:cs="Arial" w:eastAsia="Arial" w:hAnsi="Arial"/>
                <w:b w:val="false"/>
                <w:bCs w:val="false"/>
                <w:i w:val="false"/>
                <w:iCs w:val="false"/>
                <w:sz w:val="18"/>
                <w:szCs w:val="18"/>
                <w:rtl/>
              </w:rPr>
              <w:t xml:space="preserve">כלול</w:t>
            </w:r>
          </w:p>
        </w:tc>
      </w:tr>
    </w:tbl>
    <w:p>
      <w:pPr>
        <w:pBdr>
          <w:top w:val="single" w:color="8FA8C8" w:sz="4"/>
          <w:bottom w:val="single" w:color="8FA8C8" w:sz="4"/>
          <w:left w:val="single" w:color="8FA8C8" w:sz="4"/>
          <w:right w:val="single" w:color="8FA8C8" w:sz="4"/>
        </w:pBdr>
        <w:shd w:fill="F2F5FA" w:val="clear"/>
        <w:bidi/>
        <w:spacing w:after="180" w:before="140" w:line="260"/>
        <w:jc w:val="right"/>
      </w:pPr>
      <w:r>
        <w:rPr>
          <w:rFonts w:ascii="Arial" w:cs="Arial" w:eastAsia="Arial" w:hAnsi="Arial"/>
          <w:b/>
          <w:bCs/>
          <w:i w:val="false"/>
          <w:iCs w:val="false"/>
          <w:sz w:val="20"/>
          <w:szCs w:val="20"/>
          <w:rtl/>
        </w:rPr>
        <w:t xml:space="preserve">על היקף הטבלה: </w:t>
      </w:r>
      <w:r>
        <w:rPr>
          <w:rFonts w:ascii="Arial" w:cs="Arial" w:eastAsia="Arial" w:hAnsi="Arial"/>
          <w:b w:val="false"/>
          <w:bCs w:val="false"/>
          <w:i w:val="false"/>
          <w:iCs w:val="false"/>
          <w:sz w:val="20"/>
          <w:szCs w:val="20"/>
          <w:rtl/>
        </w:rPr>
        <w:t xml:space="preserve">הטבלה מציגה את היכולות המבדילות בין הרבדים ואינה מחליפה את מטריצת ההשוואה המלאה של Google, הכוללת עשרות שירותים ומתעדכנת בתדירות גבוהה. לפני החלטת רכש יש לאמת מול דף Service Tiers הרשמי.</w:t>
      </w:r>
    </w:p>
    <w:p>
      <w:pPr>
        <w:pStyle w:val="Heading2"/>
        <w:bidi/>
        <w:spacing w:after="140" w:before="340"/>
        <w:jc w:val="right"/>
      </w:pPr>
      <w:r>
        <w:rPr>
          <w:rFonts w:ascii="Arial" w:cs="Arial" w:eastAsia="Arial" w:hAnsi="Arial"/>
          <w:b/>
          <w:bCs/>
          <w:i w:val="false"/>
          <w:iCs w:val="false"/>
          <w:color w:val="1F3864"/>
          <w:sz w:val="27"/>
          <w:szCs w:val="27"/>
          <w:rtl/>
        </w:rPr>
        <w:t xml:space="preserve">שיקולים לבחירת רובד</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Standard אינו רובד ייצור. הוא נותן נראות בסיסית בלבד — ללא זיהוי איומים, ללא ניטור תאימות וללא ייצוא ל־SIEM. הוא מתאים כנקודת התחלה או לסביבות שאינן מחזיקות נתונים רגישים.</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Premium הוא רובד ברירת המחדל לסביבת ייצור. הוא כולל את כל שכבת זיהוי האיומים, ניטור התאימות, סימולציית נתיבי התקיפה והייצוא לצינורות חיצוניים.</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Enterprise אינו מסלול המשך. לאור סגירתו במאי 2027, ארגון השוקל אותו כיום צריך לבחון חלופות נקודתיות ליכולות הייחודיות שבו — SIEM ו־SOAR, ניהול הרשאות בזהויות, וכיסוי רב־ענני — ולא להסתמך על הרובד עצמו.</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Premium ניתן להפעלה גם ברמת פרויקט בודד, מה שמאפשר פיילוט ממוקד לפני החלטה ארגונית. Standard ו־Enterprise מופעלים ברמת ארגון בלבד.</w:t>
      </w:r>
    </w:p>
    <w:p>
      <w:pPr>
        <w:pStyle w:val="ListParagraph"/>
        <w:numPr>
          <w:ilvl w:val="0"/>
          <w:numId w:val="2"/>
        </w:numPr>
        <w:bidi/>
        <w:spacing w:after="70" w:line="275"/>
        <w:jc w:val="right"/>
      </w:pPr>
      <w:r>
        <w:rPr>
          <w:rFonts w:ascii="Arial" w:cs="Arial" w:eastAsia="Arial" w:hAnsi="Arial"/>
          <w:b w:val="false"/>
          <w:bCs w:val="false"/>
          <w:i w:val="false"/>
          <w:iCs w:val="false"/>
          <w:sz w:val="21"/>
          <w:szCs w:val="21"/>
          <w:rtl/>
        </w:rPr>
        <w:t xml:space="preserve">תמחור Premium קיים בשני מודלים — מנוי בתמחור קבוע ללא חריגות, או Pay-as-you-go לפי צריכה. הבחירה ביניהם צריכה להישען על מידת הצפיוּת של גידול הסביבה.</w:t>
      </w:r>
    </w:p>
    <w:p>
      <w:pPr>
        <w:pStyle w:val="Heading2"/>
        <w:bidi/>
        <w:spacing w:after="140" w:before="340"/>
        <w:jc w:val="right"/>
      </w:pPr>
      <w:r>
        <w:rPr>
          <w:rFonts w:ascii="Arial" w:cs="Arial" w:eastAsia="Arial" w:hAnsi="Arial"/>
          <w:b/>
          <w:bCs/>
          <w:i w:val="false"/>
          <w:iCs w:val="false"/>
          <w:color w:val="1F3864"/>
          <w:sz w:val="27"/>
          <w:szCs w:val="27"/>
          <w:rtl/>
        </w:rPr>
        <w:t xml:space="preserve">מקורות</w:t>
      </w:r>
    </w:p>
    <w:p>
      <w:pPr>
        <w:shd w:fill="F6F7F9" w:val="clear"/>
        <w:bidi w:val="false"/>
        <w:spacing w:after="0" w:before="60" w:line="215"/>
        <w:jc w:val="left"/>
      </w:pPr>
      <w:r>
        <w:rPr>
          <w:rFonts w:ascii="Consolas" w:cs="Consolas" w:eastAsia="Consolas" w:hAnsi="Consolas"/>
          <w:sz w:val="16"/>
          <w:szCs w:val="16"/>
        </w:rPr>
        <w:t xml:space="preserve">https://docs.cloud.google.com/security-command-center/docs/service-tiers</w:t>
      </w:r>
    </w:p>
    <w:p>
      <w:pPr>
        <w:shd w:fill="F6F7F9" w:val="clear"/>
        <w:bidi w:val="false"/>
        <w:spacing w:after="0" w:before="0" w:line="215"/>
        <w:jc w:val="left"/>
      </w:pPr>
      <w:r>
        <w:rPr>
          <w:rFonts w:ascii="Consolas" w:cs="Consolas" w:eastAsia="Consolas" w:hAnsi="Consolas"/>
          <w:sz w:val="16"/>
          <w:szCs w:val="16"/>
        </w:rPr>
        <w:t xml:space="preserve">https://docs.cloud.google.com/security-command-center/docs/security-command-center-overview</w:t>
      </w:r>
    </w:p>
    <w:p>
      <w:pPr>
        <w:shd w:fill="F6F7F9" w:val="clear"/>
        <w:bidi w:val="false"/>
        <w:spacing w:after="0" w:before="0" w:line="215"/>
        <w:jc w:val="left"/>
      </w:pPr>
      <w:r>
        <w:rPr>
          <w:rFonts w:ascii="Consolas" w:cs="Consolas" w:eastAsia="Consolas" w:hAnsi="Consolas"/>
          <w:sz w:val="16"/>
          <w:szCs w:val="16"/>
        </w:rPr>
        <w:t xml:space="preserve">https://docs.cloud.google.com/security-command-center/docs/migrate-standard-legacy</w:t>
      </w:r>
    </w:p>
    <w:p>
      <w:pPr>
        <w:shd w:fill="F6F7F9" w:val="clear"/>
        <w:bidi w:val="false"/>
        <w:spacing w:after="140" w:before="0" w:line="215"/>
        <w:jc w:val="left"/>
      </w:pPr>
      <w:r>
        <w:rPr>
          <w:rFonts w:ascii="Consolas" w:cs="Consolas" w:eastAsia="Consolas" w:hAnsi="Consolas"/>
          <w:sz w:val="16"/>
          <w:szCs w:val="16"/>
        </w:rPr>
        <w:t xml:space="preserve">https://cloud.google.com/security-command-center/pricing</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0D0" w:sz="4"/>
      </w:pBdr>
      <w:bidi/>
      <w:spacing w:after="60"/>
      <w:jc w:val="right"/>
    </w:pPr>
    <w:r>
      <w:rPr>
        <w:rFonts w:ascii="Arial" w:cs="Arial" w:eastAsia="Arial" w:hAnsi="Arial"/>
        <w:b w:val="false"/>
        <w:bCs w:val="false"/>
        <w:i w:val="false"/>
        <w:iCs w:val="false"/>
        <w:color w:val="666666"/>
        <w:sz w:val="17"/>
        <w:szCs w:val="17"/>
        <w:rtl/>
      </w:rPr>
      <w:t xml:space="preserve">Security Command Center — כלי ורבדי רישוי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2026-08-12T11:29:54.763Z</dcterms:created>
  <dcterms:modified xsi:type="dcterms:W3CDTF">2026-08-12T11:29:54.763Z</dcterms:modified>
</cp:coreProperties>
</file>

<file path=docProps/custom.xml><?xml version="1.0" encoding="utf-8"?>
<Properties xmlns="http://schemas.openxmlformats.org/officeDocument/2006/custom-properties" xmlns:vt="http://schemas.openxmlformats.org/officeDocument/2006/docPropsVTypes"/>
</file>