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0078D4"/>
          <w:sz w:val="56"/>
          <w:szCs w:val="56"/>
        </w:rPr>
        <w:t xml:space="preserve">Azure Container Security</w:t>
      </w:r>
    </w:p>
    <w:p>
      <w:pPr>
        <w:spacing w:after="60" w:before="60"/>
        <w:jc w:val="center"/>
      </w:pPr>
      <w:r>
        <w:rPr>
          <w:rFonts w:ascii="Calibri" w:cs="Calibri" w:eastAsia="Calibri" w:hAnsi="Calibri"/>
          <w:color w:val="005A9E"/>
          <w:sz w:val="32"/>
          <w:szCs w:val="32"/>
        </w:rPr>
        <w:t xml:space="preserve">ACR + AKS + Defender for Containers — Hardening Guide</w:t>
      </w:r>
    </w:p>
    <w:p>
      <w:pPr>
        <w:spacing w:after="120" w:before="600"/>
        <w:jc w:val="center"/>
      </w:pPr>
      <w:r>
        <w:rPr>
          <w:rFonts w:ascii="Calibri" w:cs="Calibri" w:eastAsia="Calibri" w:hAnsi="Calibri"/>
          <w:i/>
          <w:iCs/>
          <w:color w:val="595959"/>
          <w:sz w:val="26"/>
          <w:szCs w:val="26"/>
        </w:rPr>
        <w:t xml:space="preserve">Customer Advisory Deliverable</w:t>
      </w:r>
    </w:p>
    <w:p>
      <w:pPr>
        <w:spacing w:after="60" w:before="1200"/>
        <w:jc w:val="center"/>
      </w:pPr>
      <w:r>
        <w:rPr>
          <w:rFonts w:ascii="Calibri" w:cs="Calibri" w:eastAsia="Calibri" w:hAnsi="Calibri"/>
          <w:color w:val="1A1A1A"/>
          <w:sz w:val="22"/>
          <w:szCs w:val="22"/>
        </w:rPr>
        <w:t xml:space="preserve">Prepared by: Rami — Cloud Security Advisor</w:t>
      </w:r>
    </w:p>
    <w:p>
      <w:pPr>
        <w:spacing w:after="60" w:before="60"/>
        <w:jc w:val="center"/>
      </w:pPr>
      <w:r>
        <w:rPr>
          <w:rFonts w:ascii="Calibri" w:cs="Calibri" w:eastAsia="Calibri" w:hAnsi="Calibri"/>
          <w:color w:val="595959"/>
          <w:sz w:val="22"/>
          <w:szCs w:val="22"/>
        </w:rPr>
        <w:t xml:space="preserve">Version 1.0  ·  May 2026</w:t>
      </w:r>
    </w:p>
    <w:p>
      <w:r>
        <w:br w:type="page"/>
      </w:r>
    </w:p>
    <w:p>
      <w:pPr>
        <w:pStyle w:val="Heading1"/>
        <w:spacing w:after="180" w:before="360"/>
      </w:pPr>
      <w:r>
        <w:rPr>
          <w:rFonts w:ascii="Calibri" w:cs="Calibri" w:eastAsia="Calibri" w:hAnsi="Calibri"/>
          <w:b/>
          <w:bCs/>
          <w:color w:val="0078D4"/>
          <w:sz w:val="36"/>
          <w:szCs w:val="36"/>
        </w:rPr>
        <w:t xml:space="preserve">1. 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Azure container workloads typically span three services that must be secured as one unit: Azure Container Registry (ACR) holds the images, Azure Kubernetes Service (AKS) runs them, and Microsoft Defender for Containers provides cross-cutting posture management and runtime protection. A weakness in any one undermines the others — a hardened cluster pulling unsigned images from a publicly-exposed registry is not secure, and a private registry feeding a cluster with weak admission controls is not secure either.</w:t>
      </w:r>
    </w:p>
    <w:p>
      <w:pPr>
        <w:spacing w:after="60" w:before="60" w:line="300"/>
        <w:jc w:val="left"/>
      </w:pPr>
      <w:r>
        <w:rPr>
          <w:rFonts w:ascii="Calibri" w:cs="Calibri" w:eastAsia="Calibri" w:hAnsi="Calibri"/>
          <w:b w:val="false"/>
          <w:bCs w:val="false"/>
          <w:i w:val="false"/>
          <w:iCs w:val="false"/>
          <w:color w:val="1A1A1A"/>
          <w:sz w:val="22"/>
          <w:szCs w:val="22"/>
        </w:rPr>
        <w:t xml:space="preserve">This guide defines a four-layer control model spanning identity, network, supply chain, and governance. Each control card lists the configuration objective, what to verify in the customer environment, where to find it in the portal or CLI, and a risk grading.</w:t>
      </w:r>
    </w:p>
    <w:p>
      <w:pPr>
        <w:pStyle w:val="Heading3"/>
        <w:spacing w:after="100" w:before="220"/>
      </w:pPr>
      <w:r>
        <w:rPr>
          <w:rFonts w:ascii="Calibri" w:cs="Calibri" w:eastAsia="Calibri" w:hAnsi="Calibri"/>
          <w:b/>
          <w:bCs/>
          <w:color w:val="005A9E"/>
          <w:sz w:val="24"/>
          <w:szCs w:val="24"/>
        </w:rPr>
        <w:t xml:space="preserve">Key Recommendations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Domain</w:t>
            </w:r>
          </w:p>
        </w:tc>
        <w:tc>
          <w:tcPr>
            <w:tcW w:type="dxa" w:w="716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Recommendation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Identity</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Disable the ACR admin user. Authenticate AKS to ACR via managed identity using AcrPull. Use repository-scoped tokens for CI/CD pipelines.</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Network</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Premium SKU with Private Endpoint. Public network access disabled. AKS API server with authorized IP ranges or private cluster.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Supply Chain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Defender for Containers enabled with vulnerability assessment. Image signing via Notation (Notary v2) or Cosign. Quarantine on push.</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AKS Hardening</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Microsoft Entra integration with AKS-managed Entra ID. Azure RBAC for Kubernetes Authorization. Local accounts disabled. Azure Policy add-on enforcing Pod Security Standards.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Governance</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Built-in Azure Policy initiative (MCSB) for ACR and AKS at the subscription or management group. Diagnostic settings shipping logs to Sentinel.</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Detection</w:t>
            </w:r>
          </w:p>
        </w:tc>
        <w:tc>
          <w:tcPr>
            <w:tcW w:type="dxa" w:w="7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Defender for Containers runtime threat protection on every cluster. Alerts forwarded to SIEM, triaged on a documented SLA.</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Operational</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Image retention/purge policies. Customer-managed keys for regulated data. Soft delete for tags.</w:t>
            </w:r>
          </w:p>
        </w:tc>
      </w:tr>
    </w:tbl>
    <w:p>
      <w:r>
        <w:br w:type="page"/>
      </w:r>
    </w:p>
    <w:p>
      <w:pPr>
        <w:pStyle w:val="Heading1"/>
        <w:spacing w:after="180" w:before="360"/>
      </w:pPr>
      <w:r>
        <w:rPr>
          <w:rFonts w:ascii="Calibri" w:cs="Calibri" w:eastAsia="Calibri" w:hAnsi="Calibri"/>
          <w:b/>
          <w:bCs/>
          <w:color w:val="0078D4"/>
          <w:sz w:val="36"/>
          <w:szCs w:val="36"/>
        </w:rPr>
        <w:t xml:space="preserve">2. Layered Security Architecture</w:t>
      </w:r>
    </w:p>
    <w:p>
      <w:pPr>
        <w:spacing w:after="60" w:before="60" w:line="300"/>
        <w:jc w:val="left"/>
      </w:pPr>
      <w:r>
        <w:rPr>
          <w:rFonts w:ascii="Calibri" w:cs="Calibri" w:eastAsia="Calibri" w:hAnsi="Calibri"/>
          <w:b w:val="false"/>
          <w:bCs w:val="false"/>
          <w:i w:val="false"/>
          <w:iCs w:val="false"/>
          <w:color w:val="1A1A1A"/>
          <w:sz w:val="22"/>
          <w:szCs w:val="22"/>
        </w:rPr>
        <w:t xml:space="preserve">Container security in Azure spans the registry, the cluster, and the platform's protection plane. The following four-layer model defines where each control belongs.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078D4"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1</w:t>
            </w:r>
          </w:p>
          <w:p>
            <w:pPr>
              <w:jc w:val="center"/>
            </w:pPr>
            <w:r>
              <w:rPr>
                <w:rFonts w:ascii="Calibri" w:cs="Calibri" w:eastAsia="Calibri" w:hAnsi="Calibri"/>
                <w:b/>
                <w:bCs/>
                <w:color w:val="FFFFFF"/>
                <w:sz w:val="22"/>
                <w:szCs w:val="22"/>
              </w:rPr>
              <w:t xml:space="preserve">Identity &amp; Access</w:t>
            </w:r>
          </w:p>
        </w:tc>
        <w:tc>
          <w:tcPr>
            <w:tcW w:type="dxa" w:w="2340"/>
            <w:tcBorders>
              <w:top w:val="single" w:color="CCCCCC" w:sz="4"/>
              <w:left w:val="single" w:color="CCCCCC" w:sz="4"/>
              <w:bottom w:val="single" w:color="CCCCCC" w:sz="4"/>
              <w:right w:val="single" w:color="CCCCCC" w:sz="4"/>
            </w:tcBorders>
            <w:shd w:fill="1A8FE6"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2</w:t>
            </w:r>
          </w:p>
          <w:p>
            <w:pPr>
              <w:jc w:val="center"/>
            </w:pPr>
            <w:r>
              <w:rPr>
                <w:rFonts w:ascii="Calibri" w:cs="Calibri" w:eastAsia="Calibri" w:hAnsi="Calibri"/>
                <w:b/>
                <w:bCs/>
                <w:color w:val="FFFFFF"/>
                <w:sz w:val="22"/>
                <w:szCs w:val="22"/>
              </w:rPr>
              <w:t xml:space="preserve">Network</w:t>
            </w:r>
          </w:p>
        </w:tc>
        <w:tc>
          <w:tcPr>
            <w:tcW w:type="dxa" w:w="2340"/>
            <w:tcBorders>
              <w:top w:val="single" w:color="CCCCCC" w:sz="4"/>
              <w:left w:val="single" w:color="CCCCCC" w:sz="4"/>
              <w:bottom w:val="single" w:color="CCCCCC" w:sz="4"/>
              <w:right w:val="single" w:color="CCCCCC" w:sz="4"/>
            </w:tcBorders>
            <w:shd w:fill="5BB1F2"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3</w:t>
            </w:r>
          </w:p>
          <w:p>
            <w:pPr>
              <w:jc w:val="center"/>
            </w:pPr>
            <w:r>
              <w:rPr>
                <w:rFonts w:ascii="Calibri" w:cs="Calibri" w:eastAsia="Calibri" w:hAnsi="Calibri"/>
                <w:b/>
                <w:bCs/>
                <w:color w:val="FFFFFF"/>
                <w:sz w:val="22"/>
                <w:szCs w:val="22"/>
              </w:rPr>
              <w:t xml:space="preserve">Supply Chain</w:t>
            </w:r>
          </w:p>
        </w:tc>
        <w:tc>
          <w:tcPr>
            <w:tcW w:type="dxa" w:w="2340"/>
            <w:tcBorders>
              <w:top w:val="single" w:color="CCCCCC" w:sz="4"/>
              <w:left w:val="single" w:color="CCCCCC" w:sz="4"/>
              <w:bottom w:val="single" w:color="CCCCCC" w:sz="4"/>
              <w:right w:val="single" w:color="CCCCCC" w:sz="4"/>
            </w:tcBorders>
            <w:shd w:fill="9DD0F7"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4</w:t>
            </w:r>
          </w:p>
          <w:p>
            <w:pPr>
              <w:jc w:val="center"/>
            </w:pPr>
            <w:r>
              <w:rPr>
                <w:rFonts w:ascii="Calibri" w:cs="Calibri" w:eastAsia="Calibri" w:hAnsi="Calibri"/>
                <w:b/>
                <w:bCs/>
                <w:color w:val="FFFFFF"/>
                <w:sz w:val="22"/>
                <w:szCs w:val="22"/>
              </w:rPr>
              <w:t xml:space="preserve">Governance &amp; Detect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Entra ID auth (no admin user)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Private Endpoint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Defender vulnerability scan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Azure Policy / MCSB</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RBAC: AcrPush / AcrPull</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Public access disabled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Notation / Cosign signing</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Diagnostic logs → Sentinel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Managed identities for AKS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API server authorized IPs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Image quarantine on push</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Defender runtime alerts</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Repository-scoped tokens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Geo-replication scope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Pod Security Standards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Triage workflow</w:t>
            </w:r>
          </w:p>
        </w:tc>
      </w:tr>
    </w:tbl>
    <w:p>
      <w:pPr>
        <w:spacing w:after="160" w:before="160"/>
      </w:pPr>
      <w:r>
        <w:t xml:space="preserve"/>
      </w:r>
    </w:p>
    <w:p>
      <w:pPr>
        <w:pStyle w:val="Heading3"/>
        <w:spacing w:after="100" w:before="220"/>
      </w:pPr>
      <w:r>
        <w:rPr>
          <w:rFonts w:ascii="Calibri" w:cs="Calibri" w:eastAsia="Calibri" w:hAnsi="Calibri"/>
          <w:b/>
          <w:bCs/>
          <w:color w:val="005A9E"/>
          <w:sz w:val="24"/>
          <w:szCs w:val="24"/>
        </w:rPr>
        <w:t xml:space="preserve">Shared responsibility note</w:t>
      </w:r>
    </w:p>
    <w:p>
      <w:pPr>
        <w:spacing w:after="60" w:before="60" w:line="300"/>
        <w:jc w:val="left"/>
      </w:pPr>
      <w:r>
        <w:rPr>
          <w:rFonts w:ascii="Calibri" w:cs="Calibri" w:eastAsia="Calibri" w:hAnsi="Calibri"/>
          <w:b w:val="false"/>
          <w:bCs w:val="false"/>
          <w:i w:val="false"/>
          <w:iCs w:val="false"/>
          <w:color w:val="1A1A1A"/>
          <w:sz w:val="22"/>
          <w:szCs w:val="22"/>
        </w:rPr>
        <w:t xml:space="preserve">ACR, AKS, and Defender for Containers are PaaS services — Microsoft operates the underlying infrastructure, control plane, and (for Defender) the detection engine. The customer is responsible for: identity and RBAC configuration, network exposure decisions, image content and signing, AKS workload identity and Pod Security, Azure Policy assignment, diagnostic log routing, and triage of Defender recommendations and alerts.</w:t>
      </w:r>
    </w:p>
    <w:p>
      <w:r>
        <w:br w:type="page"/>
      </w:r>
    </w:p>
    <w:p>
      <w:pPr>
        <w:pStyle w:val="Heading1"/>
        <w:spacing w:after="180" w:before="360"/>
      </w:pPr>
      <w:r>
        <w:rPr>
          <w:rFonts w:ascii="Calibri" w:cs="Calibri" w:eastAsia="Calibri" w:hAnsi="Calibri"/>
          <w:b/>
          <w:bCs/>
          <w:color w:val="0078D4"/>
          <w:sz w:val="36"/>
          <w:szCs w:val="36"/>
        </w:rPr>
        <w:t xml:space="preserve">3. Layer 1 — Identity &amp; Access</w:t>
      </w:r>
    </w:p>
    <w:p>
      <w:pPr>
        <w:spacing w:after="60" w:before="60" w:line="300"/>
        <w:jc w:val="left"/>
      </w:pPr>
      <w:r>
        <w:rPr>
          <w:rFonts w:ascii="Calibri" w:cs="Calibri" w:eastAsia="Calibri" w:hAnsi="Calibri"/>
          <w:b w:val="false"/>
          <w:bCs w:val="false"/>
          <w:i w:val="false"/>
          <w:iCs w:val="false"/>
          <w:color w:val="1A1A1A"/>
          <w:sz w:val="22"/>
          <w:szCs w:val="22"/>
        </w:rPr>
        <w:t xml:space="preserve">Identity is the most frequent weak link in container deployments. Long-lived shared credentials, the ACR admin user, and over-privileged service principals are common audit findings.</w:t>
      </w:r>
    </w:p>
    <w:p>
      <w:pPr>
        <w:pStyle w:val="Heading3"/>
        <w:spacing w:after="100" w:before="220"/>
      </w:pPr>
      <w:r>
        <w:rPr>
          <w:rFonts w:ascii="Calibri" w:cs="Calibri" w:eastAsia="Calibri" w:hAnsi="Calibri"/>
          <w:b/>
          <w:bCs/>
          <w:color w:val="005A9E"/>
          <w:sz w:val="24"/>
          <w:szCs w:val="24"/>
        </w:rPr>
        <w:t xml:space="preserve">3.1 Disable the ACR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Disable the registry admin account</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Eliminate the shared local username/password account that bypasses Microsoft Entra and Azure RBAC entirely. When enabled, this account is a single-credential bypass of all directory-based access controls.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On every registry: admin user is disabled. No CI/CD pipeline references admin credentials.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Settings → Access keys → Admin user: Disabled.   CLI: az acr update -n &lt;registry&gt; --admin-enabled false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Disabled on all production registries. Enable only for short-lived troubleshooting with full audit.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b54av2p6painzr3soxeft">
              <w:r>
                <w:rPr>
                  <w:rFonts w:ascii="Calibri" w:cs="Calibri" w:eastAsia="Calibri" w:hAnsi="Calibri"/>
                  <w:color w:val="0563C1"/>
                  <w:sz w:val="22"/>
                  <w:szCs w:val="22"/>
                  <w:u w:val="single"/>
                </w:rPr>
                <w:t xml:space="preserve">ACR authentication overview</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Container Registry — Access keys, Admin user disabled</w:t>
            </w:r>
          </w:p>
          <w:p>
            <w:pPr>
              <w:spacing w:after="40" w:before="40"/>
              <w:jc w:val="center"/>
            </w:pPr>
            <w:r>
              <w:rPr>
                <w:rFonts w:ascii="Consolas" w:cs="Consolas" w:eastAsia="Consolas" w:hAnsi="Consolas"/>
                <w:color w:val="595959"/>
                <w:sz w:val="20"/>
                <w:szCs w:val="20"/>
              </w:rPr>
              <w:t xml:space="preserve">UI path: Portal → Container Registry → Settings → Access keys</w:t>
            </w:r>
          </w:p>
          <w:p>
            <w:pPr>
              <w:spacing w:after="40" w:before="80"/>
              <w:jc w:val="center"/>
            </w:pPr>
            <w:r>
              <w:rPr>
                <w:rFonts w:ascii="Calibri" w:cs="Calibri" w:eastAsia="Calibri" w:hAnsi="Calibri"/>
                <w:b/>
                <w:bCs/>
                <w:color w:val="1A1A1A"/>
                <w:sz w:val="20"/>
                <w:szCs w:val="20"/>
              </w:rPr>
              <w:t xml:space="preserve">Reference (Microsoft Learn): </w:t>
            </w:r>
            <w:hyperlink w:history="1" r:id="rIdhahv6p4bjmu-dwphyn-i7">
              <w:r>
                <w:rPr>
                  <w:rFonts w:ascii="Calibri" w:cs="Calibri" w:eastAsia="Calibri" w:hAnsi="Calibri"/>
                  <w:color w:val="0563C1"/>
                  <w:sz w:val="22"/>
                  <w:szCs w:val="22"/>
                  <w:u w:val="single"/>
                </w:rPr>
                <w:t xml:space="preserve">ACR authentication</w:t>
              </w:r>
            </w:hyperlink>
          </w:p>
          <w:p>
            <w:pPr>
              <w:spacing w:after="40" w:before="80"/>
              <w:jc w:val="center"/>
            </w:pPr>
            <w:r>
              <w:rPr>
                <w:rFonts w:ascii="Calibri" w:cs="Calibri" w:eastAsia="Calibri" w:hAnsi="Calibri"/>
                <w:i/>
                <w:iCs/>
                <w:color w:val="595959"/>
                <w:sz w:val="18"/>
                <w:szCs w:val="18"/>
              </w:rPr>
              <w:t xml:space="preserve">Open the reference page → snip the screenshot → paste here. Replace with capture from the customer's actual subscription where possible.</w:t>
            </w:r>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3.2 Microsoft Entra authentication for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All access via Microsoft Entra</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Every authentication to ACR must be through Microsoft Entra (Azure AD) — user identity, service principal, or managed identity. No local credentials.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az acr login uses Entra tokens. RBAC role assignments visible at Container Registry → Access control (IAM).</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Access control (IAM) → Role assignments.   CLI: az role assignment list --scope &lt;acr-id&gt;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Quarterly review of role assignments. Privileged Identity Management (PIM) for AcrPush and Owner.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17xl30mw_hhsesm1vw1wr">
              <w:r>
                <w:rPr>
                  <w:rFonts w:ascii="Calibri" w:cs="Calibri" w:eastAsia="Calibri" w:hAnsi="Calibri"/>
                  <w:color w:val="0563C1"/>
                  <w:sz w:val="22"/>
                  <w:szCs w:val="22"/>
                  <w:u w:val="single"/>
                </w:rPr>
                <w:t xml:space="preserve">ACR roles and permissions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3.3 RBAC role separation (Push vs Pull vs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Least-privilege role assignments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Distinguish between identities that build/push images and identities that pull them at runtime. Avoid broad Contributor or Owner assignments at the registry scope.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Build pipelines use AcrPush (not Contributor). AKS clusters use AcrPull. Developers use AcrPull or repository-scoped tokens for non-production registries.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Built-in roles: AcrPull, AcrPush, AcrDelete, AcrImageSigner, AcrQuarantineReader, AcrQuarantineWriter, Contributor (avoid).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Default deny — explicit role per identity. AcrImageSigner only for the dedicated signing identity.</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ahyk6bzkddqw5nng_ep2l">
              <w:r>
                <w:rPr>
                  <w:rFonts w:ascii="Calibri" w:cs="Calibri" w:eastAsia="Calibri" w:hAnsi="Calibri"/>
                  <w:color w:val="0563C1"/>
                  <w:sz w:val="22"/>
                  <w:szCs w:val="22"/>
                  <w:u w:val="single"/>
                </w:rPr>
                <w:t xml:space="preserve">ACR roles and permissions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3.4 Managed identity for AKS → ACR pulls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Use managed identity, not imagePullSecrets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AKS clusters should pull images using a managed identity granted AcrPull on the registry, eliminating stored kubelet credentials or in-cluster image pull secrets.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AKS cluster has --attach-acr configured, or kubelet identity has AcrPull on the registry. No imagePullSecrets in pod specs.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CLI: az aks update -n &lt;cluster&gt; -g &lt;rg&gt; --attach-acr &lt;registry&gt;.   Portal: AKS → Cluster configuration → Container registry.</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Managed identity attachment is the only supported pattern for production. No image pull secrets in source control.</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yeun0qqi8b-rdciuhevn5">
              <w:r>
                <w:rPr>
                  <w:rFonts w:ascii="Calibri" w:cs="Calibri" w:eastAsia="Calibri" w:hAnsi="Calibri"/>
                  <w:color w:val="0563C1"/>
                  <w:sz w:val="22"/>
                  <w:szCs w:val="22"/>
                  <w:u w:val="single"/>
                </w:rPr>
                <w:t xml:space="preserve">AKS authentication with ACR</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3.5 Repository-scoped tokens for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Token-based access scoped to a single repository</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Where a service principal is too broad, issue a repository-scoped token granting push or pull access to specified repositories only, with an expiry date.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Tokens issued with short expiry (≤ 90 days), scoped to minimum repository set, rotated automatically via pipeline secrets.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Repository permissions → Tokens (Premium SKU).   CLI: az acr token create.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Scoped tokens only for non-Entra-aware tooling. Prefer managed identity / service principal where supported.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k6mlgxuihp9m6sqgynvos">
              <w:r>
                <w:rPr>
                  <w:rFonts w:ascii="Calibri" w:cs="Calibri" w:eastAsia="Calibri" w:hAnsi="Calibri"/>
                  <w:color w:val="0563C1"/>
                  <w:sz w:val="22"/>
                  <w:szCs w:val="22"/>
                  <w:u w:val="single"/>
                </w:rPr>
                <w:t xml:space="preserve">Repository-scoped permissions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3.6 AKS — Microsoft Entra integration with Azure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AKS bound to Entra ID with Azure RBAC for Kubernetes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Cluster-side authentication via Entra ID, with Azure RBAC roles (AKS RBAC Reader/Writer/Admin/Cluster Admin) controlling Kubernetes API access — replacing local cluster admin kubeconfig.</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AKS-managed Microsoft Entra integration enabled. Azure RBAC for Kubernetes Authorization enabled. Local accounts disabled.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AKS → Cluster configuration → Authentication and Authorization. CLI: az aks update --enable-aad --enable-azure-rbac --disable-local-accounts.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Enabled on all production clusters. Local accounts permanently disabled.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wxob7vjskm890wxw0bv7y">
              <w:r>
                <w:rPr>
                  <w:rFonts w:ascii="Calibri" w:cs="Calibri" w:eastAsia="Calibri" w:hAnsi="Calibri"/>
                  <w:color w:val="0563C1"/>
                  <w:sz w:val="22"/>
                  <w:szCs w:val="22"/>
                  <w:u w:val="single"/>
                </w:rPr>
                <w:t xml:space="preserve">AKS — Azure RBAC for Kubernetes Authorization</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0078D4"/>
          <w:sz w:val="36"/>
          <w:szCs w:val="36"/>
        </w:rPr>
        <w:t xml:space="preserve">4. Layer 2 — Network Exposure</w:t>
      </w:r>
    </w:p>
    <w:p>
      <w:pPr>
        <w:spacing w:after="60" w:before="60" w:line="300"/>
        <w:jc w:val="left"/>
      </w:pPr>
      <w:r>
        <w:rPr>
          <w:rFonts w:ascii="Calibri" w:cs="Calibri" w:eastAsia="Calibri" w:hAnsi="Calibri"/>
          <w:b w:val="false"/>
          <w:bCs w:val="false"/>
          <w:i w:val="false"/>
          <w:iCs w:val="false"/>
          <w:color w:val="1A1A1A"/>
          <w:sz w:val="22"/>
          <w:szCs w:val="22"/>
        </w:rPr>
        <w:t xml:space="preserve">ACR and AKS are internet-reachable by default. For regulated workloads or any production environment, public exposure should be eliminated and replaced with private connectivity through Private Endpoint and authorized IP ranges.</w:t>
      </w:r>
    </w:p>
    <w:p>
      <w:pPr>
        <w:pStyle w:val="Heading3"/>
        <w:spacing w:after="100" w:before="220"/>
      </w:pPr>
      <w:r>
        <w:rPr>
          <w:rFonts w:ascii="Calibri" w:cs="Calibri" w:eastAsia="Calibri" w:hAnsi="Calibri"/>
          <w:b/>
          <w:bCs/>
          <w:color w:val="005A9E"/>
          <w:sz w:val="24"/>
          <w:szCs w:val="24"/>
        </w:rPr>
        <w:t xml:space="preserve">4.1 Premium SKU + Private Endpoint for ACR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Private Link for the registry</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Map private endpoints to the registry so clients reach it via a private IP in the customer VNet, with no traversal of the public internet.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Registry SKU is Premium. At least one Private Endpoint connection is approved. Public network access is Disabled or restricted to specific IPs / VNets.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Networking → Private access  (and Public access tab).</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Private Endpoint mandatory for production. Public network access: Disabled. Cross-region pulls via geo-replicated registry with regional Private Endpoint.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dgn8oj8aeijhxbqg17ez8">
              <w:r>
                <w:rPr>
                  <w:rFonts w:ascii="Calibri" w:cs="Calibri" w:eastAsia="Calibri" w:hAnsi="Calibri"/>
                  <w:color w:val="0563C1"/>
                  <w:sz w:val="22"/>
                  <w:szCs w:val="22"/>
                  <w:u w:val="single"/>
                </w:rPr>
                <w:t xml:space="preserve">ACR Private Link</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Container Registry — Networking, Private access tab</w:t>
            </w:r>
          </w:p>
          <w:p>
            <w:pPr>
              <w:spacing w:after="40" w:before="40"/>
              <w:jc w:val="center"/>
            </w:pPr>
            <w:r>
              <w:rPr>
                <w:rFonts w:ascii="Consolas" w:cs="Consolas" w:eastAsia="Consolas" w:hAnsi="Consolas"/>
                <w:color w:val="595959"/>
                <w:sz w:val="20"/>
                <w:szCs w:val="20"/>
              </w:rPr>
              <w:t xml:space="preserve">UI path: Portal → Container Registry → Settings → Networking → Private access</w:t>
            </w:r>
          </w:p>
          <w:p>
            <w:pPr>
              <w:spacing w:after="40" w:before="80"/>
              <w:jc w:val="center"/>
            </w:pPr>
            <w:r>
              <w:rPr>
                <w:rFonts w:ascii="Calibri" w:cs="Calibri" w:eastAsia="Calibri" w:hAnsi="Calibri"/>
                <w:b/>
                <w:bCs/>
                <w:color w:val="1A1A1A"/>
                <w:sz w:val="20"/>
                <w:szCs w:val="20"/>
              </w:rPr>
              <w:t xml:space="preserve">Reference (Microsoft Learn): </w:t>
            </w:r>
            <w:hyperlink w:history="1" r:id="rId7u2-ti8jtimk4pe-w9xle">
              <w:r>
                <w:rPr>
                  <w:rFonts w:ascii="Calibri" w:cs="Calibri" w:eastAsia="Calibri" w:hAnsi="Calibri"/>
                  <w:color w:val="0563C1"/>
                  <w:sz w:val="22"/>
                  <w:szCs w:val="22"/>
                  <w:u w:val="single"/>
                </w:rPr>
                <w:t xml:space="preserve">ACR Private Link</w:t>
              </w:r>
            </w:hyperlink>
          </w:p>
          <w:p>
            <w:pPr>
              <w:spacing w:after="40" w:before="80"/>
              <w:jc w:val="center"/>
            </w:pPr>
            <w:r>
              <w:rPr>
                <w:rFonts w:ascii="Calibri" w:cs="Calibri" w:eastAsia="Calibri" w:hAnsi="Calibri"/>
                <w:i/>
                <w:iCs/>
                <w:color w:val="595959"/>
                <w:sz w:val="18"/>
                <w:szCs w:val="18"/>
              </w:rPr>
              <w:t xml:space="preserve">Open the reference page → snip the screenshot → paste here. Replace with capture from the customer's actual subscription where possible.</w:t>
            </w:r>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4.2 Disable public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Public network access — Disabled</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When using Private Endpoint, explicitly disable the public endpoint to prevent fallback access via the internet-facing FQDN.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Container Registry → Networking → Public access → Disabled. Trusted services bypass enabled only if needed for ACR Tasks or Defender.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Settings → Networking → Public access. CLI: az acr update --public-network-enabled false.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Disabled on all production registries. Document any approved trusted-services bypass.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4jxct0iq9ibsde3peso8">
              <w:r>
                <w:rPr>
                  <w:rFonts w:ascii="Calibri" w:cs="Calibri" w:eastAsia="Calibri" w:hAnsi="Calibri"/>
                  <w:color w:val="0563C1"/>
                  <w:sz w:val="22"/>
                  <w:szCs w:val="22"/>
                  <w:u w:val="single"/>
                </w:rPr>
                <w:t xml:space="preserve">Restrict access by IP / VNet</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4.3 AKS API server — authorized IP ranges or private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Restrict the AKS API server endpoint</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 unrestricted internet access to the AKS API server. Use authorized IP ranges (corporate egress IPs, jumphosts, CI/CD agents) or a private cluster with the API server inside the VNet.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AKS → Networking → API server authorized IP ranges configured, or private cluster enabled. No 0.0.0.0/0 in the allow list.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AKS → Networking → API server authorized IP ranges.  CLI: az aks update --api-server-authorized-ip-ranges &lt;list&gt;</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Private cluster preferred for regulated workloads. Authorized IP ranges minimum bar for any production cluster.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ur6srcx0ckwnvrq4igrtp">
              <w:r>
                <w:rPr>
                  <w:rFonts w:ascii="Calibri" w:cs="Calibri" w:eastAsia="Calibri" w:hAnsi="Calibri"/>
                  <w:color w:val="0563C1"/>
                  <w:sz w:val="22"/>
                  <w:szCs w:val="22"/>
                  <w:u w:val="single"/>
                </w:rPr>
                <w:t xml:space="preserve">AKS — API server authorized IP ranges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4.4 Geo-replication and regional pull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Replicate registries to where workloads run</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Reduce cross-region pull latency and egress fees, and reduce blast radius of a regional Private Endpoint outage.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Registry geo-replicated to every region where AKS clusters or other consumers are deployed. Each replica region has its own Private Endpoint where required.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Geo-replications. CLI: az acr replication create.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Production registries geo-replicated to all regions running consumer workloads. Premium SKU required.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hzzxuzhkr9mz0lmmfzqrz">
              <w:r>
                <w:rPr>
                  <w:rFonts w:ascii="Calibri" w:cs="Calibri" w:eastAsia="Calibri" w:hAnsi="Calibri"/>
                  <w:color w:val="0563C1"/>
                  <w:sz w:val="22"/>
                  <w:szCs w:val="22"/>
                  <w:u w:val="single"/>
                </w:rPr>
                <w:t xml:space="preserve">ACR geo-replication</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0078D4"/>
          <w:sz w:val="36"/>
          <w:szCs w:val="36"/>
        </w:rPr>
        <w:t xml:space="preserve">5. Layer 3 — Image Supply Chain</w:t>
      </w:r>
    </w:p>
    <w:p>
      <w:pPr>
        <w:spacing w:after="60" w:before="60" w:line="300"/>
        <w:jc w:val="left"/>
      </w:pPr>
      <w:r>
        <w:rPr>
          <w:rFonts w:ascii="Calibri" w:cs="Calibri" w:eastAsia="Calibri" w:hAnsi="Calibri"/>
          <w:b w:val="false"/>
          <w:bCs w:val="false"/>
          <w:i w:val="false"/>
          <w:iCs w:val="false"/>
          <w:color w:val="1A1A1A"/>
          <w:sz w:val="22"/>
          <w:szCs w:val="22"/>
        </w:rPr>
        <w:t xml:space="preserve">Even a perfectly locked-down registry is only as safe as the images it stores. This layer covers vulnerability scanning, image signing, content trust, and admission control for what can run on the cluster.</w:t>
      </w:r>
    </w:p>
    <w:p>
      <w:pPr>
        <w:pStyle w:val="Heading3"/>
        <w:spacing w:after="100" w:before="220"/>
      </w:pPr>
      <w:r>
        <w:rPr>
          <w:rFonts w:ascii="Calibri" w:cs="Calibri" w:eastAsia="Calibri" w:hAnsi="Calibri"/>
          <w:b/>
          <w:bCs/>
          <w:color w:val="005A9E"/>
          <w:sz w:val="24"/>
          <w:szCs w:val="24"/>
        </w:rPr>
        <w:t xml:space="preserve">5.1 Defender for Containers — registry vulnerability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Continuous CVE scanning of registry images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Automatically scan every pushed image and every running container image for known vulnerabilities (CVEs), with daily re-scans and recommendations integrated into Defender for Cloud and Microsoft Defender XDR.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Defender for Containers plan enabled at the subscription. Recommendations under 'Container registry images should have vulnerability findings resolved' visible in Defender for Cloud.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Microsoft Defender for Cloud → Environment settings → [subscription] → Defender plans → Containers: On.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Enabled on every subscription containing ACR or AKS. Critical/High findings tracked to remediation SLAs.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hdwts9vxg0eo3xurd6j5k">
              <w:r>
                <w:rPr>
                  <w:rFonts w:ascii="Calibri" w:cs="Calibri" w:eastAsia="Calibri" w:hAnsi="Calibri"/>
                  <w:color w:val="0563C1"/>
                  <w:sz w:val="22"/>
                  <w:szCs w:val="22"/>
                  <w:u w:val="single"/>
                </w:rPr>
                <w:t xml:space="preserve">Defender for Containers overview</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5.2 Image signing — Notation / Notary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Sign images and verify signatures at admission</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Cryptographically sign images at build/push time and verify those signatures before the cluster pulls them. Establishes a chain of custody from source to runtime.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Build pipeline uses notation sign with a key from Azure Key Vault. Cluster has Ratify or equivalent admission controller verifying signatures.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CLI: notation sign $REGISTRY/$IMAGE:$TAG  (with Azure Key Vault plugin). Ratify Helm chart on cluster.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Mandatory for production. Block unsigned images at admission via Ratify + Gatekeeper or Azure Policy.</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xs-zmdwsopf8xge2omvcm">
              <w:r>
                <w:rPr>
                  <w:rFonts w:ascii="Calibri" w:cs="Calibri" w:eastAsia="Calibri" w:hAnsi="Calibri"/>
                  <w:color w:val="0563C1"/>
                  <w:sz w:val="22"/>
                  <w:szCs w:val="22"/>
                  <w:u w:val="single"/>
                </w:rPr>
                <w:t xml:space="preserve">ACR — OCI artifacts and signatures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5.3 Image quarantine 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Hold newly pushed images until scanned</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Newly pushed images sit invisible to pull operations until vulnerability scanning completes — preventing accidental pull of a freshly pushed image with critical findings.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Quarantine policy enabled on the registry. Pipeline has explicit promote step after scan results return clean.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CLI: az acr config retention update + quarantine controls (preview features). Implement via ACR Tasks or pipeline gate.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Where supported, enable quarantine. Otherwise enforce via pipeline gate that requires Defender scan completion before tagging stable.</w:t>
            </w:r>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5.4 Customer-managed keys for encryption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CMK for registries holding regulated content</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Encrypt registry content with a customer-managed key in Azure Key Vault, supplementing Microsoft-managed keys. Required for some compliance regimes.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Registry created with --identity and --key-encryption-key. Key Vault has soft-delete and purge protection enabled.</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Settings → Encryption.  CLI: az acr create --identity ... --key-encryption-key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 for regulated workloads (PCI, HIPAA, government). Document key rotation procedure.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uce0gvfchpxbcwozgp9_8">
              <w:r>
                <w:rPr>
                  <w:rFonts w:ascii="Calibri" w:cs="Calibri" w:eastAsia="Calibri" w:hAnsi="Calibri"/>
                  <w:color w:val="0563C1"/>
                  <w:sz w:val="22"/>
                  <w:szCs w:val="22"/>
                  <w:u w:val="single"/>
                </w:rPr>
                <w:t xml:space="preserve">ACR — Customer-managed keys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5.5 AKS — Pod Security Standards via Azure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Enforce baseline / restricted Pod Security at admission</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Use the Azure Policy add-on for AKS to enforce Kubernetes Pod Security Standards (baseline and restricted) — blocking privileged containers, host-path mounts, hostNetwork, and other risky pod specs.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Azure Policy add-on installed on cluster. Initiative 'Kubernetes cluster pod security baseline standards for Linux-based workloads' assigned and in Deny mode for production.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AKS → Policies → Recommendations.  Policy: Azure Policy → Definitions → search 'Kubernetes pod security'.</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Baseline in Deny mode for all clusters. Restricted in Audit then Deny for greenfield production.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uqm2amlxn2_kjerqd7mom">
              <w:r>
                <w:rPr>
                  <w:rFonts w:ascii="Calibri" w:cs="Calibri" w:eastAsia="Calibri" w:hAnsi="Calibri"/>
                  <w:color w:val="0563C1"/>
                  <w:sz w:val="22"/>
                  <w:szCs w:val="22"/>
                  <w:u w:val="single"/>
                </w:rPr>
                <w:t xml:space="preserve">Azure Policy for Kubernetes</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5.6 Defender for Containers — runtime threat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Runtime protection on every AKS cluster</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Detect malicious behavior inside running containers — crypto-mining, reverse shells, privilege escalation, anomalous process exec — using the Defender for Containers runtime sensor.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Defender sensor (DaemonSet) deployed to every AKS cluster. Alerts visible in Defender for Cloud / Microsoft Defender XDR.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Defender for Cloud → Environment settings → [subscription] → Containers → Settings → Runtime threat protection: On.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Enabled cluster-wide. Alerts forwarded to SIEM. MITRE ATT&amp;CK mappings used for runbook authoring.</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g0xpin6ypncvw6ldxmdym">
              <w:r>
                <w:rPr>
                  <w:rFonts w:ascii="Calibri" w:cs="Calibri" w:eastAsia="Calibri" w:hAnsi="Calibri"/>
                  <w:color w:val="0563C1"/>
                  <w:sz w:val="22"/>
                  <w:szCs w:val="22"/>
                  <w:u w:val="single"/>
                </w:rPr>
                <w:t xml:space="preserve">Defender for Containers overview</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0078D4"/>
          <w:sz w:val="36"/>
          <w:szCs w:val="36"/>
        </w:rPr>
        <w:t xml:space="preserve">6. Layer 4 — Governance &amp; Detection</w:t>
      </w:r>
    </w:p>
    <w:p>
      <w:pPr>
        <w:spacing w:after="60" w:before="60" w:line="300"/>
        <w:jc w:val="left"/>
      </w:pPr>
      <w:r>
        <w:rPr>
          <w:rFonts w:ascii="Calibri" w:cs="Calibri" w:eastAsia="Calibri" w:hAnsi="Calibri"/>
          <w:b w:val="false"/>
          <w:bCs w:val="false"/>
          <w:i w:val="false"/>
          <w:iCs w:val="false"/>
          <w:color w:val="1A1A1A"/>
          <w:sz w:val="22"/>
          <w:szCs w:val="22"/>
        </w:rPr>
        <w:t xml:space="preserve">Layer 4 wraps the previous three with the policy, logging, and detection content needed to operate the environment at scale and detect drift or compromise.</w:t>
      </w:r>
    </w:p>
    <w:p>
      <w:pPr>
        <w:pStyle w:val="Heading3"/>
        <w:spacing w:after="100" w:before="220"/>
      </w:pPr>
      <w:r>
        <w:rPr>
          <w:rFonts w:ascii="Calibri" w:cs="Calibri" w:eastAsia="Calibri" w:hAnsi="Calibri"/>
          <w:b/>
          <w:bCs/>
          <w:color w:val="005A9E"/>
          <w:sz w:val="24"/>
          <w:szCs w:val="24"/>
        </w:rPr>
        <w:t xml:space="preserve">6.1 Azure Policy initiative for ACR and 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Built-in policy initiatives at scope</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Assign Microsoft's built-in policy initiatives at the management group or subscription scope so every existing and future ACR and AKS resource is evaluated against the same baseline.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Initiatives assigned: Microsoft cloud security benchmark (which includes ACR/AKS controls). Compliance dashboard reviewed monthly.</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Policy → Assignments → Assign initiative. Scope at the management group covering production subscriptions.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MCSB initiative + custom additions for organization-specific requirements. Target ≥ 95% compliance.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mx67az2i9ykkk8dr7g8za">
              <w:r>
                <w:rPr>
                  <w:rFonts w:ascii="Calibri" w:cs="Calibri" w:eastAsia="Calibri" w:hAnsi="Calibri"/>
                  <w:color w:val="0563C1"/>
                  <w:sz w:val="22"/>
                  <w:szCs w:val="22"/>
                  <w:u w:val="single"/>
                </w:rPr>
                <w:t xml:space="preserve">Azure security baseline for ACR</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6.2 Diagnostic logs to Log Analytics / 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Ship registry and cluster logs to a central workspace</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Persist ContainerRegistryLoginEvents, ContainerRegistryRepositoryEvents, AKS audit logs, and Defender alerts to a Log Analytics workspace for hunting, retention, and Sentinel correlation.</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Diagnostic settings enabled on every ACR and AKS resource. Sentinel data connectors for Defender for Cloud and Azure Activity active.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Portal: Container Registry / AKS → Monitoring → Diagnostic settings.</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All categories to Log Analytics. Retention ≥ 90 days. Sentinel enabled on the workspace.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7z2erc05n-8gjs-te_huw">
              <w:r>
                <w:rPr>
                  <w:rFonts w:ascii="Calibri" w:cs="Calibri" w:eastAsia="Calibri" w:hAnsi="Calibri"/>
                  <w:color w:val="0563C1"/>
                  <w:sz w:val="22"/>
                  <w:szCs w:val="22"/>
                  <w:u w:val="single"/>
                </w:rPr>
                <w:t xml:space="preserve">ACR — Logs for diagnostic evaluation</w:t>
              </w:r>
            </w:hyperlink>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6.3 Triage and remediation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0078D4" w:val="clear"/>
            <w:tcMar>
              <w:top w:type="dxa" w:w="100"/>
              <w:left w:type="dxa" w:w="140"/>
              <w:bottom w:type="dxa" w:w="100"/>
              <w:right w:type="dxa" w:w="140"/>
            </w:tcMar>
          </w:tcPr>
          <w:p>
            <w:r>
              <w:rPr>
                <w:rFonts w:ascii="Calibri" w:cs="Calibri" w:eastAsia="Calibri" w:hAnsi="Calibri"/>
                <w:b/>
                <w:bCs/>
                <w:color w:val="FFFFFF"/>
                <w:sz w:val="24"/>
                <w:szCs w:val="24"/>
              </w:rPr>
              <w:t xml:space="preserve">Operationalize Defender recommendations and alerts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Defender for Cloud is only useful if its findings are triaged. Establish a recurring review cadence and remediation SLA tied to risk grade.</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Documented playbook covering: weekly review of Critical/High recommendations; ticketed remediation with SLA (Critical 7d, High 30d); alert auto-routing to SIEM/SOAR.</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Defender for Cloud → Recommendations / Security alerts. Workflow automation rules for alert routing.</w:t>
            </w:r>
          </w:p>
        </w:tc>
      </w:tr>
      <w:tr>
        <w:tc>
          <w:tcPr>
            <w:tcW w:type="dxa" w:w="2200"/>
            <w:tcBorders>
              <w:top w:val="single" w:color="CCCCCC" w:sz="4"/>
              <w:left w:val="single" w:color="CCCCCC" w:sz="4"/>
              <w:bottom w:val="single" w:color="CCCCCC" w:sz="4"/>
              <w:right w:val="single" w:color="CCCCCC" w:sz="4"/>
            </w:tcBorders>
            <w:shd w:fill="DEEBF7" w:val="clear"/>
            <w:tcMar>
              <w:top w:type="dxa" w:w="80"/>
              <w:left w:type="dxa" w:w="140"/>
              <w:bottom w:type="dxa" w:w="80"/>
              <w:right w:type="dxa" w:w="140"/>
            </w:tcMar>
          </w:tcPr>
          <w:p>
            <w:r>
              <w:rPr>
                <w:rFonts w:ascii="Calibri" w:cs="Calibri" w:eastAsia="Calibri" w:hAnsi="Calibri"/>
                <w:b/>
                <w:bCs/>
                <w:color w:val="0078D4"/>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Weekly governance review. SLA enforcement via dashboard and exec reporting.</w:t>
            </w:r>
          </w:p>
        </w:tc>
      </w:tr>
    </w:tbl>
    <w:p>
      <w:pPr>
        <w:spacing w:after="120" w:before="120"/>
      </w:pPr>
      <w:r>
        <w:t xml:space="preserve"/>
      </w:r>
    </w:p>
    <w:p>
      <w:r>
        <w:br w:type="page"/>
      </w:r>
    </w:p>
    <w:p>
      <w:pPr>
        <w:pStyle w:val="Heading1"/>
        <w:spacing w:after="180" w:before="360"/>
      </w:pPr>
      <w:r>
        <w:rPr>
          <w:rFonts w:ascii="Calibri" w:cs="Calibri" w:eastAsia="Calibri" w:hAnsi="Calibri"/>
          <w:b/>
          <w:bCs/>
          <w:color w:val="0078D4"/>
          <w:sz w:val="36"/>
          <w:szCs w:val="36"/>
        </w:rPr>
        <w:t xml:space="preserve">7. Assessment Methodology — Artifacts to Pull</w:t>
      </w:r>
    </w:p>
    <w:p>
      <w:pPr>
        <w:spacing w:after="60" w:before="60" w:line="300"/>
        <w:jc w:val="left"/>
      </w:pPr>
      <w:r>
        <w:rPr>
          <w:rFonts w:ascii="Calibri" w:cs="Calibri" w:eastAsia="Calibri" w:hAnsi="Calibri"/>
          <w:b w:val="false"/>
          <w:bCs w:val="false"/>
          <w:i w:val="false"/>
          <w:iCs w:val="false"/>
          <w:color w:val="1A1A1A"/>
          <w:sz w:val="22"/>
          <w:szCs w:val="22"/>
        </w:rPr>
        <w:t xml:space="preserve">To perform a complete review of an Azure container deployment, request the following artifacts from the customer. These provide approximately 80% of the picture needed for a posture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Artifact</w:t>
            </w:r>
          </w:p>
        </w:tc>
        <w:tc>
          <w:tcPr>
            <w:tcW w:type="dxa" w:w="636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Detail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Resource inventory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az resource list --resource-type Microsoft.ContainerRegistry/registries / Microsoft.ContainerService/managedClusters across all subscriptions.</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ACR configurations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For each registry: SKU, public network access, admin user state, Private Endpoint connections, geo-replications, encryption keys, retention policy.</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RBAC at ACR scope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Role assignments at every registry. Identify Contributor/Owner assignments to non-admin identities.</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AKS configurations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For each cluster: Entra integration, Azure RBAC for Kubernetes, local accounts state, API server authorized IPs / private cluster, Azure Policy add-on, attached registries.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Defender plans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Containers plan state per subscription, sensor deployment status, recent recommendations export.</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Policy compliance</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Compliance state for MCSB initiative at the relevant scopes.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0078D4"/>
                <w:sz w:val="22"/>
                <w:szCs w:val="22"/>
              </w:rPr>
              <w:t xml:space="preserve">Diagnostic settings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Per-resource diagnostic settings export — destination workspace, log categories, retention.</w:t>
            </w:r>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7.1 Posture Scoring Framework</w:t>
      </w:r>
    </w:p>
    <w:p>
      <w:pPr>
        <w:spacing w:after="60" w:before="60" w:line="300"/>
        <w:jc w:val="left"/>
      </w:pPr>
      <w:r>
        <w:rPr>
          <w:rFonts w:ascii="Calibri" w:cs="Calibri" w:eastAsia="Calibri" w:hAnsi="Calibri"/>
          <w:b w:val="false"/>
          <w:bCs w:val="false"/>
          <w:i w:val="false"/>
          <w:iCs w:val="false"/>
          <w:color w:val="1A1A1A"/>
          <w:sz w:val="22"/>
          <w:szCs w:val="22"/>
        </w:rPr>
        <w:t xml:space="preserve">Assign each control a status of Implemented, Partial, or Not Implemented. Weight HIGH-risk controls at 3x, MEDIUM at 2x, LOW at 1x. The composite score gives a comparable posture metric across registries, clusters, and subscriptions.</w:t>
      </w:r>
    </w:p>
    <w:p>
      <w:r>
        <w:br w:type="page"/>
      </w:r>
    </w:p>
    <w:p>
      <w:pPr>
        <w:pStyle w:val="Heading1"/>
        <w:spacing w:after="180" w:before="360"/>
      </w:pPr>
      <w:r>
        <w:rPr>
          <w:rFonts w:ascii="Calibri" w:cs="Calibri" w:eastAsia="Calibri" w:hAnsi="Calibri"/>
          <w:b/>
          <w:bCs/>
          <w:color w:val="0078D4"/>
          <w:sz w:val="36"/>
          <w:szCs w:val="36"/>
        </w:rPr>
        <w:t xml:space="preserve">8. Appendix A — Screenshot Capture Guide</w:t>
      </w:r>
    </w:p>
    <w:p>
      <w:pPr>
        <w:spacing w:after="60" w:before="60" w:line="300"/>
        <w:jc w:val="left"/>
      </w:pPr>
      <w:r>
        <w:rPr>
          <w:rFonts w:ascii="Calibri" w:cs="Calibri" w:eastAsia="Calibri" w:hAnsi="Calibri"/>
          <w:b w:val="false"/>
          <w:bCs w:val="false"/>
          <w:i w:val="false"/>
          <w:iCs w:val="false"/>
          <w:color w:val="1A1A1A"/>
          <w:sz w:val="22"/>
          <w:szCs w:val="22"/>
        </w:rPr>
        <w:t xml:space="preserve">Capture these screens from the customer's tenant — or from your own demo subscription if you don't have access — and paste each over its corresponding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500"/>
        <w:gridCol w:w="1760"/>
      </w:tblGrid>
      <w:tr>
        <w:trPr>
          <w:tblHeader/>
        </w:trPr>
        <w:tc>
          <w:tcPr>
            <w:tcW w:type="dxa" w:w="7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Screen</w:t>
            </w:r>
          </w:p>
        </w:tc>
        <w:tc>
          <w:tcPr>
            <w:tcW w:type="dxa" w:w="450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Where to navigate</w:t>
            </w:r>
          </w:p>
        </w:tc>
        <w:tc>
          <w:tcPr>
            <w:tcW w:type="dxa" w:w="1760"/>
            <w:tcBorders>
              <w:top w:val="single" w:color="CCCCCC" w:sz="4"/>
              <w:left w:val="single" w:color="CCCCCC" w:sz="4"/>
              <w:bottom w:val="single" w:color="CCCCCC" w:sz="4"/>
              <w:right w:val="single" w:color="CCCCCC" w:sz="4"/>
            </w:tcBorders>
            <w:shd w:fill="0078D4" w:val="clear"/>
            <w:tcMar>
              <w:top w:type="dxa" w:w="120"/>
              <w:left w:type="dxa" w:w="140"/>
              <w:bottom w:type="dxa" w:w="120"/>
              <w:right w:type="dxa" w:w="140"/>
            </w:tcMar>
          </w:tcPr>
          <w:p>
            <w:r>
              <w:rPr>
                <w:rFonts w:ascii="Calibri" w:cs="Calibri" w:eastAsia="Calibri" w:hAnsi="Calibri"/>
                <w:b/>
                <w:bCs/>
                <w:color w:val="FFFFFF"/>
                <w:sz w:val="22"/>
                <w:szCs w:val="22"/>
              </w:rPr>
              <w:t xml:space="preserve">Status</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ACR — Admin user disabled</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Container Registry → Settings → Access keys</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4.1</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ACR — Networking, Private access</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Container Registry → Settings → Networking → Private access</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AKS — API server authorized IP ranges</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AKS → Networking → API server authorized IP ranges</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595959"/>
                <w:sz w:val="20"/>
                <w:szCs w:val="20"/>
              </w:rPr>
              <w:t xml:space="preserve">OPTIONAL</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5.1</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Defender plans — Containers ON</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Defender for Cloud → Environment settings → [sub] → Defender plans</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Azure Policy — Pod Security initiative</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Policy → Assignments → Pod Security initiative</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595959"/>
                <w:sz w:val="20"/>
                <w:szCs w:val="20"/>
              </w:rPr>
              <w:t xml:space="preserve">OPTIONAL</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6.1</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Policy compliance — MCSB</w:t>
            </w:r>
          </w:p>
        </w:tc>
        <w:tc>
          <w:tcPr>
            <w:tcW w:type="dxa" w:w="45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Policy → Compliance → MCSB</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595959"/>
                <w:sz w:val="20"/>
                <w:szCs w:val="20"/>
              </w:rPr>
              <w:t xml:space="preserve">OPTIONAL</w:t>
            </w:r>
          </w:p>
        </w:tc>
      </w:tr>
    </w:tbl>
    <w:p>
      <w:pPr>
        <w:spacing w:after="120" w:before="120"/>
      </w:pPr>
      <w:r>
        <w:t xml:space="preserve"/>
      </w:r>
    </w:p>
    <w:p>
      <w:pPr>
        <w:pStyle w:val="Heading3"/>
        <w:spacing w:after="100" w:before="220"/>
      </w:pPr>
      <w:r>
        <w:rPr>
          <w:rFonts w:ascii="Calibri" w:cs="Calibri" w:eastAsia="Calibri" w:hAnsi="Calibri"/>
          <w:b/>
          <w:bCs/>
          <w:color w:val="005A9E"/>
          <w:sz w:val="24"/>
          <w:szCs w:val="24"/>
        </w:rPr>
        <w:t xml:space="preserve">CLI shortcuts for evidence capture</w:t>
      </w:r>
    </w:p>
    <w:p>
      <w:pPr>
        <w:spacing w:after="60" w:before="60" w:line="300"/>
        <w:jc w:val="left"/>
      </w:pPr>
      <w:r>
        <w:rPr>
          <w:rFonts w:ascii="Calibri" w:cs="Calibri" w:eastAsia="Calibri" w:hAnsi="Calibri"/>
          <w:b w:val="false"/>
          <w:bCs w:val="false"/>
          <w:i/>
          <w:iCs/>
          <w:color w:val="1A1A1A"/>
          <w:sz w:val="22"/>
          <w:szCs w:val="22"/>
        </w:rPr>
        <w:t xml:space="preserve">Where screenshot capture isn't possible, the following commands produce equivalent textual evidence:</w:t>
      </w:r>
    </w:p>
    <w:p>
      <w:pPr>
        <w:spacing w:after="60" w:before="60" w:line="300"/>
        <w:jc w:val="left"/>
      </w:pPr>
      <w:r>
        <w:rPr>
          <w:rFonts w:ascii="Calibri" w:cs="Calibri" w:eastAsia="Calibri" w:hAnsi="Calibri"/>
          <w:b w:val="false"/>
          <w:bCs w:val="false"/>
          <w:i w:val="false"/>
          <w:iCs w:val="false"/>
          <w:color w:val="1A1A1A"/>
          <w:sz w:val="20"/>
          <w:szCs w:val="20"/>
        </w:rPr>
        <w:t xml:space="preserve">ACR posture:  az acr show -n &lt;reg&gt; --query "{sku:sku.name, public:publicNetworkAccess, admin:adminUserEnabled}"</w:t>
      </w:r>
    </w:p>
    <w:p>
      <w:pPr>
        <w:spacing w:after="60" w:before="60" w:line="300"/>
        <w:jc w:val="left"/>
      </w:pPr>
      <w:r>
        <w:rPr>
          <w:rFonts w:ascii="Calibri" w:cs="Calibri" w:eastAsia="Calibri" w:hAnsi="Calibri"/>
          <w:b w:val="false"/>
          <w:bCs w:val="false"/>
          <w:i w:val="false"/>
          <w:iCs w:val="false"/>
          <w:color w:val="1A1A1A"/>
          <w:sz w:val="20"/>
          <w:szCs w:val="20"/>
        </w:rPr>
        <w:t xml:space="preserve">AKS posture:  az aks show -n &lt;cluster&gt; -g &lt;rg&gt; --query "{aad:aadProfile, rbac:enableRbac, localAccounts:disableLocalAccounts, apiServer:apiServerAccessProfile}"</w:t>
      </w:r>
    </w:p>
    <w:p>
      <w:pPr>
        <w:spacing w:after="60" w:before="60" w:line="300"/>
        <w:jc w:val="left"/>
      </w:pPr>
      <w:r>
        <w:rPr>
          <w:rFonts w:ascii="Calibri" w:cs="Calibri" w:eastAsia="Calibri" w:hAnsi="Calibri"/>
          <w:b w:val="false"/>
          <w:bCs w:val="false"/>
          <w:i w:val="false"/>
          <w:iCs w:val="false"/>
          <w:color w:val="1A1A1A"/>
          <w:sz w:val="20"/>
          <w:szCs w:val="20"/>
        </w:rPr>
        <w:t xml:space="preserve">Defender plan: az security pricing show -n Containers</w:t>
      </w:r>
    </w:p>
    <w:p>
      <w:r>
        <w:br w:type="page"/>
      </w:r>
    </w:p>
    <w:p>
      <w:pPr>
        <w:pStyle w:val="Heading1"/>
        <w:spacing w:after="180" w:before="360"/>
      </w:pPr>
      <w:r>
        <w:rPr>
          <w:rFonts w:ascii="Calibri" w:cs="Calibri" w:eastAsia="Calibri" w:hAnsi="Calibri"/>
          <w:b/>
          <w:bCs/>
          <w:color w:val="0078D4"/>
          <w:sz w:val="36"/>
          <w:szCs w:val="36"/>
        </w:rPr>
        <w:t xml:space="preserve">9. References</w:t>
      </w:r>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Best Practices — </w:t>
      </w:r>
      <w:hyperlink w:history="1" r:id="rIdulrq6ff7l62aputhurh3k">
        <w:r>
          <w:rPr>
            <w:rFonts w:ascii="Calibri" w:cs="Calibri" w:eastAsia="Calibri" w:hAnsi="Calibri"/>
            <w:color w:val="0563C1"/>
            <w:sz w:val="22"/>
            <w:szCs w:val="22"/>
            <w:u w:val="single"/>
          </w:rPr>
          <w:t xml:space="preserve">https://learn.microsoft.com/en-us/azure/container-registry/container-registry-best-practices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Azure Security Baseline for Container Registry — </w:t>
      </w:r>
      <w:hyperlink w:history="1" r:id="rId05fxjknmjaepkpcgprdkn">
        <w:r>
          <w:rPr>
            <w:rFonts w:ascii="Calibri" w:cs="Calibri" w:eastAsia="Calibri" w:hAnsi="Calibri"/>
            <w:color w:val="0563C1"/>
            <w:sz w:val="22"/>
            <w:szCs w:val="22"/>
            <w:u w:val="single"/>
          </w:rPr>
          <w:t xml:space="preserve">https://learn.microsoft.com/en-us/security/benchmark/azure/baselines/container-registry-security-baseline</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Authentication overview — </w:t>
      </w:r>
      <w:hyperlink w:history="1" r:id="rIdtavbsxlcz5cthxy0iybde">
        <w:r>
          <w:rPr>
            <w:rFonts w:ascii="Calibri" w:cs="Calibri" w:eastAsia="Calibri" w:hAnsi="Calibri"/>
            <w:color w:val="0563C1"/>
            <w:sz w:val="22"/>
            <w:szCs w:val="22"/>
            <w:u w:val="single"/>
          </w:rPr>
          <w:t xml:space="preserve">https://learn.microsoft.com/en-us/azure/container-registry/container-registry-authentication</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Roles and permissions — </w:t>
      </w:r>
      <w:hyperlink w:history="1" r:id="rIdbgajchdjmnnvva2kcw1jp">
        <w:r>
          <w:rPr>
            <w:rFonts w:ascii="Calibri" w:cs="Calibri" w:eastAsia="Calibri" w:hAnsi="Calibri"/>
            <w:color w:val="0563C1"/>
            <w:sz w:val="22"/>
            <w:szCs w:val="22"/>
            <w:u w:val="single"/>
          </w:rPr>
          <w:t xml:space="preserve">https://learn.microsoft.com/en-us/azure/container-registry/container-registry-roles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Private Link — </w:t>
      </w:r>
      <w:hyperlink w:history="1" r:id="rIdepcmjdb_y_bfhjoiflma0">
        <w:r>
          <w:rPr>
            <w:rFonts w:ascii="Calibri" w:cs="Calibri" w:eastAsia="Calibri" w:hAnsi="Calibri"/>
            <w:color w:val="0563C1"/>
            <w:sz w:val="22"/>
            <w:szCs w:val="22"/>
            <w:u w:val="single"/>
          </w:rPr>
          <w:t xml:space="preserve">https://learn.microsoft.com/en-us/azure/container-registry/container-registry-private-link</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Restrict access by IP / VNet — </w:t>
      </w:r>
      <w:hyperlink w:history="1" r:id="rIdefkavtlil2jzjjns8uu-j">
        <w:r>
          <w:rPr>
            <w:rFonts w:ascii="Calibri" w:cs="Calibri" w:eastAsia="Calibri" w:hAnsi="Calibri"/>
            <w:color w:val="0563C1"/>
            <w:sz w:val="22"/>
            <w:szCs w:val="22"/>
            <w:u w:val="single"/>
          </w:rPr>
          <w:t xml:space="preserve">https://learn.microsoft.com/en-us/azure/container-registry/container-registry-access-selected-networks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Customer-managed keys — </w:t>
      </w:r>
      <w:hyperlink w:history="1" r:id="rId2pfs-t7zw3lzvk3s8tdny">
        <w:r>
          <w:rPr>
            <w:rFonts w:ascii="Calibri" w:cs="Calibri" w:eastAsia="Calibri" w:hAnsi="Calibri"/>
            <w:color w:val="0563C1"/>
            <w:sz w:val="22"/>
            <w:szCs w:val="22"/>
            <w:u w:val="single"/>
          </w:rPr>
          <w:t xml:space="preserve">https://learn.microsoft.com/en-us/azure/container-registry/tutorial-enable-customer-managed-keys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Geo-replication — </w:t>
      </w:r>
      <w:hyperlink w:history="1" r:id="rIdvo1_8rmrqlu2davlcmvth">
        <w:r>
          <w:rPr>
            <w:rFonts w:ascii="Calibri" w:cs="Calibri" w:eastAsia="Calibri" w:hAnsi="Calibri"/>
            <w:color w:val="0563C1"/>
            <w:sz w:val="22"/>
            <w:szCs w:val="22"/>
            <w:u w:val="single"/>
          </w:rPr>
          <w:t xml:space="preserve">https://learn.microsoft.com/en-us/azure/container-registry/container-registry-geo-replication</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Repository-scoped permissions — </w:t>
      </w:r>
      <w:hyperlink w:history="1" r:id="rId2mlach0yzsr5bhl2hwrn5">
        <w:r>
          <w:rPr>
            <w:rFonts w:ascii="Calibri" w:cs="Calibri" w:eastAsia="Calibri" w:hAnsi="Calibri"/>
            <w:color w:val="0563C1"/>
            <w:sz w:val="22"/>
            <w:szCs w:val="22"/>
            <w:u w:val="single"/>
          </w:rPr>
          <w:t xml:space="preserve">https://learn.microsoft.com/en-us/azure/container-registry/container-registry-repository-scoped-permissions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ACR — Logs for diagnostic evaluation — </w:t>
      </w:r>
      <w:hyperlink w:history="1" r:id="rIdmla8uglhd_lzgyg8dexfl">
        <w:r>
          <w:rPr>
            <w:rFonts w:ascii="Calibri" w:cs="Calibri" w:eastAsia="Calibri" w:hAnsi="Calibri"/>
            <w:color w:val="0563C1"/>
            <w:sz w:val="22"/>
            <w:szCs w:val="22"/>
            <w:u w:val="single"/>
          </w:rPr>
          <w:t xml:space="preserve">https://learn.microsoft.com/en-us/azure/container-registry/container-registry-diagnostics-audit-logs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AKS — Cluster authentication with ACR — </w:t>
      </w:r>
      <w:hyperlink w:history="1" r:id="rIdtuju-ffgeasktyfgrhdw3">
        <w:r>
          <w:rPr>
            <w:rFonts w:ascii="Calibri" w:cs="Calibri" w:eastAsia="Calibri" w:hAnsi="Calibri"/>
            <w:color w:val="0563C1"/>
            <w:sz w:val="22"/>
            <w:szCs w:val="22"/>
            <w:u w:val="single"/>
          </w:rPr>
          <w:t xml:space="preserve">https://learn.microsoft.com/en-us/azure/aks/cluster-container-registry-integration</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AKS — Azure RBAC for Kubernetes Authorization — </w:t>
      </w:r>
      <w:hyperlink w:history="1" r:id="rIdf_fc7uwdnc8vfjv4v8fks">
        <w:r>
          <w:rPr>
            <w:rFonts w:ascii="Calibri" w:cs="Calibri" w:eastAsia="Calibri" w:hAnsi="Calibri"/>
            <w:color w:val="0563C1"/>
            <w:sz w:val="22"/>
            <w:szCs w:val="22"/>
            <w:u w:val="single"/>
          </w:rPr>
          <w:t xml:space="preserve">https://learn.microsoft.com/en-us/azure/aks/manage-azure-rbac</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AKS — API server authorized IP ranges — </w:t>
      </w:r>
      <w:hyperlink w:history="1" r:id="rIdjawt72vppowucjoqekek7">
        <w:r>
          <w:rPr>
            <w:rFonts w:ascii="Calibri" w:cs="Calibri" w:eastAsia="Calibri" w:hAnsi="Calibri"/>
            <w:color w:val="0563C1"/>
            <w:sz w:val="22"/>
            <w:szCs w:val="22"/>
            <w:u w:val="single"/>
          </w:rPr>
          <w:t xml:space="preserve">https://learn.microsoft.com/en-us/azure/aks/api-server-authorized-ip-ranges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AKS — Private clusters — </w:t>
      </w:r>
      <w:hyperlink w:history="1" r:id="rIdyb7ygkmbahxzljp1al4tt">
        <w:r>
          <w:rPr>
            <w:rFonts w:ascii="Calibri" w:cs="Calibri" w:eastAsia="Calibri" w:hAnsi="Calibri"/>
            <w:color w:val="0563C1"/>
            <w:sz w:val="22"/>
            <w:szCs w:val="22"/>
            <w:u w:val="single"/>
          </w:rPr>
          <w:t xml:space="preserve">https://learn.microsoft.com/en-us/azure/aks/private-clusters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Defender for Containers overview — </w:t>
      </w:r>
      <w:hyperlink w:history="1" r:id="rIdgno9g2mpq_yjp_5ohvy6z">
        <w:r>
          <w:rPr>
            <w:rFonts w:ascii="Calibri" w:cs="Calibri" w:eastAsia="Calibri" w:hAnsi="Calibri"/>
            <w:color w:val="0563C1"/>
            <w:sz w:val="22"/>
            <w:szCs w:val="22"/>
            <w:u w:val="single"/>
          </w:rPr>
          <w:t xml:space="preserve">https://learn.microsoft.com/en-us/azure/defender-for-cloud/defender-for-containers-introduction</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Defender for Cloud — Container security recommendations — </w:t>
      </w:r>
      <w:hyperlink w:history="1" r:id="rId8krsh0hlwulsoczehudgf">
        <w:r>
          <w:rPr>
            <w:rFonts w:ascii="Calibri" w:cs="Calibri" w:eastAsia="Calibri" w:hAnsi="Calibri"/>
            <w:color w:val="0563C1"/>
            <w:sz w:val="22"/>
            <w:szCs w:val="22"/>
            <w:u w:val="single"/>
          </w:rPr>
          <w:t xml:space="preserve">https://learn.microsoft.com/en-us/azure/defender-for-cloud/recommendations-reference-container</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Azure Policy for Kubernetes — </w:t>
      </w:r>
      <w:hyperlink w:history="1" r:id="rIdzgf4gkchqgnfd5wbvb3oi">
        <w:r>
          <w:rPr>
            <w:rFonts w:ascii="Calibri" w:cs="Calibri" w:eastAsia="Calibri" w:hAnsi="Calibri"/>
            <w:color w:val="0563C1"/>
            <w:sz w:val="22"/>
            <w:szCs w:val="22"/>
            <w:u w:val="single"/>
          </w:rPr>
          <w:t xml:space="preserve">https://learn.microsoft.com/en-us/azure/governance/policy/concepts/policy-for-kubernetes</w:t>
        </w:r>
      </w:hyperlink>
    </w:p>
    <w:p>
      <w:pPr>
        <w:spacing w:after="60" w:before="60"/>
      </w:pPr>
      <w:r>
        <w:rPr>
          <w:rFonts w:ascii="Calibri" w:cs="Calibri" w:eastAsia="Calibri" w:hAnsi="Calibri"/>
          <w:b/>
          <w:bCs/>
          <w:color w:val="005A9E"/>
          <w:sz w:val="22"/>
          <w:szCs w:val="22"/>
        </w:rPr>
        <w:t xml:space="preserve">▸  </w:t>
      </w:r>
      <w:r>
        <w:rPr>
          <w:rFonts w:ascii="Calibri" w:cs="Calibri" w:eastAsia="Calibri" w:hAnsi="Calibri"/>
          <w:b/>
          <w:bCs/>
          <w:color w:val="1A1A1A"/>
          <w:sz w:val="22"/>
          <w:szCs w:val="22"/>
        </w:rPr>
        <w:t xml:space="preserve">Microsoft cloud security benchmark — </w:t>
      </w:r>
      <w:hyperlink w:history="1" r:id="rIdgijiaypydima0qa9ii7xb">
        <w:r>
          <w:rPr>
            <w:rFonts w:ascii="Calibri" w:cs="Calibri" w:eastAsia="Calibri" w:hAnsi="Calibri"/>
            <w:color w:val="0563C1"/>
            <w:sz w:val="22"/>
            <w:szCs w:val="22"/>
            <w:u w:val="single"/>
          </w:rPr>
          <w:t xml:space="preserve">https://learn.microsoft.com/en-us/security/benchmark/azure/introduction</w:t>
        </w:r>
      </w:hyperlink>
    </w:p>
    <w:p>
      <w:pPr>
        <w:spacing w:after="240" w:before="240"/>
      </w:pPr>
      <w:r>
        <w:t xml:space="preserve"/>
      </w:r>
    </w:p>
    <w:p>
      <w:pPr>
        <w:spacing w:after="60" w:before="240"/>
        <w:jc w:val="center"/>
      </w:pPr>
      <w:r>
        <w:rPr>
          <w:rFonts w:ascii="Calibri" w:cs="Calibri" w:eastAsia="Calibri" w:hAnsi="Calibri"/>
          <w:i/>
          <w:iCs/>
          <w:color w:val="59595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Confidential — Customer Advisory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Azure Container Security Hardening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78D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078D4"/>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05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54av2p6painzr3soxeft" Type="http://schemas.openxmlformats.org/officeDocument/2006/relationships/hyperlink" Target="https://learn.microsoft.com/en-us/azure/container-registry/container-registry-authentication" TargetMode="External"/><Relationship Id="rIdhahv6p4bjmu-dwphyn-i7" Type="http://schemas.openxmlformats.org/officeDocument/2006/relationships/hyperlink" Target="https://learn.microsoft.com/en-us/azure/container-registry/container-registry-authentication" TargetMode="External"/><Relationship Id="rId17xl30mw_hhsesm1vw1wr" Type="http://schemas.openxmlformats.org/officeDocument/2006/relationships/hyperlink" Target="https://learn.microsoft.com/en-us/azure/container-registry/container-registry-roles" TargetMode="External"/><Relationship Id="rIdahyk6bzkddqw5nng_ep2l" Type="http://schemas.openxmlformats.org/officeDocument/2006/relationships/hyperlink" Target="https://learn.microsoft.com/en-us/azure/container-registry/container-registry-roles" TargetMode="External"/><Relationship Id="rIdyeun0qqi8b-rdciuhevn5" Type="http://schemas.openxmlformats.org/officeDocument/2006/relationships/hyperlink" Target="https://learn.microsoft.com/en-us/azure/aks/cluster-container-registry-integration" TargetMode="External"/><Relationship Id="rIdk6mlgxuihp9m6sqgynvos" Type="http://schemas.openxmlformats.org/officeDocument/2006/relationships/hyperlink" Target="https://learn.microsoft.com/en-us/azure/container-registry/container-registry-repository-scoped-permissions" TargetMode="External"/><Relationship Id="rIdwxob7vjskm890wxw0bv7y" Type="http://schemas.openxmlformats.org/officeDocument/2006/relationships/hyperlink" Target="https://learn.microsoft.com/en-us/azure/aks/manage-azure-rbac" TargetMode="External"/><Relationship Id="rIddgn8oj8aeijhxbqg17ez8" Type="http://schemas.openxmlformats.org/officeDocument/2006/relationships/hyperlink" Target="https://learn.microsoft.com/en-us/azure/container-registry/container-registry-private-link" TargetMode="External"/><Relationship Id="rId7u2-ti8jtimk4pe-w9xle" Type="http://schemas.openxmlformats.org/officeDocument/2006/relationships/hyperlink" Target="https://learn.microsoft.com/en-us/azure/container-registry/container-registry-private-link" TargetMode="External"/><Relationship Id="rIdp4jxct0iq9ibsde3peso8" Type="http://schemas.openxmlformats.org/officeDocument/2006/relationships/hyperlink" Target="https://learn.microsoft.com/en-us/azure/container-registry/container-registry-access-selected-networks" TargetMode="External"/><Relationship Id="rIdur6srcx0ckwnvrq4igrtp" Type="http://schemas.openxmlformats.org/officeDocument/2006/relationships/hyperlink" Target="https://learn.microsoft.com/en-us/azure/aks/api-server-authorized-ip-ranges" TargetMode="External"/><Relationship Id="rIdhzzxuzhkr9mz0lmmfzqrz" Type="http://schemas.openxmlformats.org/officeDocument/2006/relationships/hyperlink" Target="https://learn.microsoft.com/en-us/azure/container-registry/container-registry-geo-replication" TargetMode="External"/><Relationship Id="rIdhdwts9vxg0eo3xurd6j5k" Type="http://schemas.openxmlformats.org/officeDocument/2006/relationships/hyperlink" Target="https://learn.microsoft.com/en-us/azure/defender-for-cloud/defender-for-containers-introduction" TargetMode="External"/><Relationship Id="rIdxs-zmdwsopf8xge2omvcm" Type="http://schemas.openxmlformats.org/officeDocument/2006/relationships/hyperlink" Target="https://learn.microsoft.com/en-us/azure/container-registry/container-registry-image-formats" TargetMode="External"/><Relationship Id="rIduce0gvfchpxbcwozgp9_8" Type="http://schemas.openxmlformats.org/officeDocument/2006/relationships/hyperlink" Target="https://learn.microsoft.com/en-us/azure/container-registry/tutorial-enable-customer-managed-keys" TargetMode="External"/><Relationship Id="rIduqm2amlxn2_kjerqd7mom" Type="http://schemas.openxmlformats.org/officeDocument/2006/relationships/hyperlink" Target="https://learn.microsoft.com/en-us/azure/governance/policy/concepts/policy-for-kubernetes" TargetMode="External"/><Relationship Id="rIdg0xpin6ypncvw6ldxmdym" Type="http://schemas.openxmlformats.org/officeDocument/2006/relationships/hyperlink" Target="https://learn.microsoft.com/en-us/azure/defender-for-cloud/defender-for-containers-introduction" TargetMode="External"/><Relationship Id="rIdmx67az2i9ykkk8dr7g8za" Type="http://schemas.openxmlformats.org/officeDocument/2006/relationships/hyperlink" Target="https://learn.microsoft.com/en-us/security/benchmark/azure/baselines/container-registry-security-baseline" TargetMode="External"/><Relationship Id="rId7z2erc05n-8gjs-te_huw" Type="http://schemas.openxmlformats.org/officeDocument/2006/relationships/hyperlink" Target="https://learn.microsoft.com/en-us/azure/container-registry/container-registry-diagnostics-audit-logs" TargetMode="External"/><Relationship Id="rIdulrq6ff7l62aputhurh3k" Type="http://schemas.openxmlformats.org/officeDocument/2006/relationships/hyperlink" Target="https://learn.microsoft.com/en-us/azure/container-registry/container-registry-best-practices" TargetMode="External"/><Relationship Id="rId05fxjknmjaepkpcgprdkn" Type="http://schemas.openxmlformats.org/officeDocument/2006/relationships/hyperlink" Target="https://learn.microsoft.com/en-us/security/benchmark/azure/baselines/container-registry-security-baseline" TargetMode="External"/><Relationship Id="rIdtavbsxlcz5cthxy0iybde" Type="http://schemas.openxmlformats.org/officeDocument/2006/relationships/hyperlink" Target="https://learn.microsoft.com/en-us/azure/container-registry/container-registry-authentication" TargetMode="External"/><Relationship Id="rIdbgajchdjmnnvva2kcw1jp" Type="http://schemas.openxmlformats.org/officeDocument/2006/relationships/hyperlink" Target="https://learn.microsoft.com/en-us/azure/container-registry/container-registry-roles" TargetMode="External"/><Relationship Id="rIdepcmjdb_y_bfhjoiflma0" Type="http://schemas.openxmlformats.org/officeDocument/2006/relationships/hyperlink" Target="https://learn.microsoft.com/en-us/azure/container-registry/container-registry-private-link" TargetMode="External"/><Relationship Id="rIdefkavtlil2jzjjns8uu-j" Type="http://schemas.openxmlformats.org/officeDocument/2006/relationships/hyperlink" Target="https://learn.microsoft.com/en-us/azure/container-registry/container-registry-access-selected-networks" TargetMode="External"/><Relationship Id="rId2pfs-t7zw3lzvk3s8tdny" Type="http://schemas.openxmlformats.org/officeDocument/2006/relationships/hyperlink" Target="https://learn.microsoft.com/en-us/azure/container-registry/tutorial-enable-customer-managed-keys" TargetMode="External"/><Relationship Id="rIdvo1_8rmrqlu2davlcmvth" Type="http://schemas.openxmlformats.org/officeDocument/2006/relationships/hyperlink" Target="https://learn.microsoft.com/en-us/azure/container-registry/container-registry-geo-replication" TargetMode="External"/><Relationship Id="rId2mlach0yzsr5bhl2hwrn5" Type="http://schemas.openxmlformats.org/officeDocument/2006/relationships/hyperlink" Target="https://learn.microsoft.com/en-us/azure/container-registry/container-registry-repository-scoped-permissions" TargetMode="External"/><Relationship Id="rIdmla8uglhd_lzgyg8dexfl" Type="http://schemas.openxmlformats.org/officeDocument/2006/relationships/hyperlink" Target="https://learn.microsoft.com/en-us/azure/container-registry/container-registry-diagnostics-audit-logs" TargetMode="External"/><Relationship Id="rIdtuju-ffgeasktyfgrhdw3" Type="http://schemas.openxmlformats.org/officeDocument/2006/relationships/hyperlink" Target="https://learn.microsoft.com/en-us/azure/aks/cluster-container-registry-integration" TargetMode="External"/><Relationship Id="rIdf_fc7uwdnc8vfjv4v8fks" Type="http://schemas.openxmlformats.org/officeDocument/2006/relationships/hyperlink" Target="https://learn.microsoft.com/en-us/azure/aks/manage-azure-rbac" TargetMode="External"/><Relationship Id="rIdjawt72vppowucjoqekek7" Type="http://schemas.openxmlformats.org/officeDocument/2006/relationships/hyperlink" Target="https://learn.microsoft.com/en-us/azure/aks/api-server-authorized-ip-ranges" TargetMode="External"/><Relationship Id="rIdyb7ygkmbahxzljp1al4tt" Type="http://schemas.openxmlformats.org/officeDocument/2006/relationships/hyperlink" Target="https://learn.microsoft.com/en-us/azure/aks/private-clusters" TargetMode="External"/><Relationship Id="rIdgno9g2mpq_yjp_5ohvy6z" Type="http://schemas.openxmlformats.org/officeDocument/2006/relationships/hyperlink" Target="https://learn.microsoft.com/en-us/azure/defender-for-cloud/defender-for-containers-introduction" TargetMode="External"/><Relationship Id="rId8krsh0hlwulsoczehudgf" Type="http://schemas.openxmlformats.org/officeDocument/2006/relationships/hyperlink" Target="https://learn.microsoft.com/en-us/azure/defender-for-cloud/recommendations-reference-container" TargetMode="External"/><Relationship Id="rIdzgf4gkchqgnfd5wbvb3oi" Type="http://schemas.openxmlformats.org/officeDocument/2006/relationships/hyperlink" Target="https://learn.microsoft.com/en-us/azure/governance/policy/concepts/policy-for-kubernetes" TargetMode="External"/><Relationship Id="rIdgijiaypydima0qa9ii7xb" Type="http://schemas.openxmlformats.org/officeDocument/2006/relationships/hyperlink" Target="https://learn.microsoft.com/en-us/security/benchmark/azure/introduction"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Container Security Hardening Guide</dc:title>
  <dc:creator>Rami — Cloud Security Advisor</dc:creator>
  <dc:description>Customer advisory deliverable — ACR + AKS + Defender for Containers</dc:description>
  <cp:lastModifiedBy>Un-named</cp:lastModifiedBy>
  <cp:revision>1</cp:revision>
  <dcterms:created xsi:type="dcterms:W3CDTF">2026-05-03T11:11:17.797Z</dcterms:created>
  <dcterms:modified xsi:type="dcterms:W3CDTF">2026-05-03T11:11:17.811Z</dcterms:modified>
</cp:coreProperties>
</file>

<file path=docProps/custom.xml><?xml version="1.0" encoding="utf-8"?>
<Properties xmlns="http://schemas.openxmlformats.org/officeDocument/2006/custom-properties" xmlns:vt="http://schemas.openxmlformats.org/officeDocument/2006/docPropsVTypes"/>
</file>