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keepNext w:val="0"/>
        <w:spacing w:before="0" w:after="80" w:line="372" w:lineRule="auto"/>
        <w:jc w:val="center"/>
      </w:pPr>
      <w:r>
        <w:rPr>
          <w:rFonts w:ascii="Noto Sans CJK SC" w:hAnsi="Noto Sans CJK SC" w:eastAsia="Noto Sans CJK SC"/>
          <w:b/>
          <w:color w:val="0F4B5A"/>
          <w:sz w:val="34"/>
        </w:rPr>
        <w:t>QilyLean｜启力精益</w:t>
      </w:r>
    </w:p>
    <w:p>
      <w:pPr>
        <w:keepNext w:val="0"/>
        <w:spacing w:before="0" w:after="100" w:line="372" w:lineRule="auto"/>
        <w:jc w:val="center"/>
      </w:pPr>
      <w:r>
        <w:rPr>
          <w:rFonts w:ascii="Noto Sans CJK SC" w:hAnsi="Noto Sans CJK SC" w:eastAsia="Noto Sans CJK SC"/>
          <w:b/>
          <w:color w:val="0F4B5A"/>
          <w:sz w:val="56"/>
        </w:rPr>
        <w:t>制造改善项目双向保密协议</w:t>
      </w:r>
    </w:p>
    <w:p>
      <w:pPr>
        <w:keepNext w:val="0"/>
        <w:spacing w:before="0" w:after="360" w:line="372" w:lineRule="auto"/>
        <w:jc w:val="center"/>
      </w:pPr>
      <w:r>
        <w:rPr>
          <w:rFonts w:ascii="Noto Sans CJK SC" w:hAnsi="Noto Sans CJK SC" w:eastAsia="Noto Sans CJK SC"/>
          <w:b/>
          <w:color w:val="CAA15F"/>
          <w:sz w:val="24"/>
        </w:rPr>
        <w:t>MUTUAL NON-DISCLOSURE AGREEMENT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协议编号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22"/>
              </w:rPr>
              <w:t>QILY-NDA-____________</w:t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项目名称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22"/>
              </w:rPr>
              <w:t>____________________________________________</w:t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甲方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22"/>
              </w:rPr>
              <w:t>____________________________________________</w:t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乙方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22"/>
              </w:rPr>
              <w:t>____________________________________________</w:t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签署日期／地点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22"/>
              </w:rPr>
              <w:t>_______年____月____日／_____________________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EEF8F6"/>
            <w:tcBorders>
              <w:top w:val="single" w:sz="10" w:color="CAA15F"/>
              <w:left w:val="single" w:sz="10" w:color="CAA15F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40" w:line="372" w:lineRule="auto"/>
              <w:jc w:val="both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适用范围</w:t>
            </w:r>
          </w:p>
          <w:p>
            <w:pPr>
              <w:keepNext w:val="0"/>
              <w:spacing w:before="0" w:after="0" w:line="372" w:lineRule="auto"/>
              <w:jc w:val="both"/>
            </w:pPr>
            <w:r>
              <w:rPr>
                <w:rFonts w:ascii="Noto Sans CJK SC" w:hAnsi="Noto Sans CJK SC" w:eastAsia="Noto Sans CJK SC"/>
                <w:b w:val="0"/>
                <w:color w:val="526B69"/>
                <w:sz w:val="21"/>
              </w:rPr>
              <w:t>制造改善、精益生产、工业工程（IE）、新产品导入（NPI）、新工厂／新产线规划、目视化项目、质量改善、ERP／MES／APS及其他数智化工厂项目的洽谈、诊断、方案、实施、验收与复盘。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ily_home_q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4B5A"/>
                <w:sz w:val="18"/>
              </w:rPr>
              <w:t>QilyLean官网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526B69"/>
                <w:sz w:val="19"/>
              </w:rPr>
              <w:t>版本 V1.0</w:t>
              <w:br/>
              <w:t>2026-08-01</w:t>
              <w:br/>
              <w:t>通用双向保密协议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ily_trust_q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4B5A"/>
                <w:sz w:val="18"/>
              </w:rPr>
              <w:t>QilyLean信任中心</w:t>
            </w:r>
          </w:p>
        </w:tc>
      </w:tr>
    </w:tbl>
    <w:p>
      <w:pPr>
        <w:keepNext w:val="0"/>
        <w:spacing w:before="240" w:after="0" w:line="372" w:lineRule="auto"/>
        <w:jc w:val="center"/>
      </w:pPr>
      <w:r>
        <w:rPr>
          <w:rFonts w:ascii="Noto Sans CJK SC" w:hAnsi="Noto Sans CJK SC" w:eastAsia="Noto Sans CJK SC"/>
          <w:b w:val="0"/>
          <w:color w:val="9E4A34"/>
          <w:sz w:val="19"/>
        </w:rPr>
        <w:t>本范本供一般商业项目使用，不替代针对具体交易、跨境数据、国家秘密、上市披露或重大核心技术事项的专项法律审查。</w:t>
      </w:r>
    </w:p>
    <w:p>
      <w:r>
        <w:br w:type="page"/>
      </w:r>
    </w:p>
    <w:p>
      <w:pPr>
        <w:keepNext/>
        <w:spacing w:before="0" w:after="160" w:line="372" w:lineRule="auto"/>
        <w:jc w:val="both"/>
      </w:pPr>
      <w:r>
        <w:rPr>
          <w:rFonts w:ascii="Noto Sans CJK SC" w:hAnsi="Noto Sans CJK SC" w:eastAsia="Noto Sans CJK SC"/>
          <w:b/>
          <w:color w:val="0F4B5A"/>
          <w:sz w:val="36"/>
        </w:rPr>
        <w:t>使用说明（签署前请确认）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EEF8F6"/>
            <w:tcBorders>
              <w:top w:val="single" w:sz="10" w:color="CAA15F"/>
              <w:left w:val="single" w:sz="10" w:color="CAA15F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40" w:line="372" w:lineRule="auto"/>
              <w:jc w:val="both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范本定位</w:t>
            </w:r>
          </w:p>
          <w:p>
            <w:pPr>
              <w:keepNext w:val="0"/>
              <w:spacing w:before="0" w:after="0" w:line="372" w:lineRule="auto"/>
              <w:jc w:val="both"/>
            </w:pPr>
            <w:r>
              <w:rPr>
                <w:rFonts w:ascii="Noto Sans CJK SC" w:hAnsi="Noto Sans CJK SC" w:eastAsia="Noto Sans CJK SC"/>
                <w:b w:val="0"/>
                <w:color w:val="526B69"/>
                <w:sz w:val="21"/>
              </w:rPr>
              <w:t>本协议采用“双向保密”结构：任何一方披露资料时为“披露方”，接收资料时为“接收方”。双方可结合项目风险，在空白处补充保密等级、保密期限、违约金、争议解决地及附件清单。</w:t>
            </w:r>
          </w:p>
        </w:tc>
      </w:tr>
    </w:tbl>
    <w:p>
      <w:pPr>
        <w:spacing w:after="0"/>
      </w:pPr>
    </w:p>
    <w:p>
      <w:pPr>
        <w:keepNext w:val="0"/>
        <w:spacing w:before="0" w:after="60" w:line="372" w:lineRule="auto"/>
        <w:ind w:left="44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甲乙双方名称、证照信息、授权代表和联系方式应与实际签约主体一致。</w:t>
      </w:r>
    </w:p>
    <w:p>
      <w:pPr>
        <w:keepNext w:val="0"/>
        <w:spacing w:before="0" w:after="60" w:line="372" w:lineRule="auto"/>
        <w:ind w:left="44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涉及图纸、BOM、工艺参数、报价、成本、产能、标准工时、设备数据、客户信息及人员信息时，建议在附件一逐项登记。</w:t>
      </w:r>
    </w:p>
    <w:p>
      <w:pPr>
        <w:keepNext w:val="0"/>
        <w:spacing w:before="0" w:after="60" w:line="372" w:lineRule="auto"/>
        <w:ind w:left="44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未经书面同意，不得将受控资料上传至公开网盘、公开代码仓库、公共AI模型或其他不可控第三方平台。</w:t>
      </w:r>
    </w:p>
    <w:p>
      <w:pPr>
        <w:keepNext w:val="0"/>
        <w:spacing w:before="0" w:after="60" w:line="372" w:lineRule="auto"/>
        <w:ind w:left="44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如需允许分包商、顾问、供应商或关联方接触资料，应在项目合同或书面授权中明确范围，并确保其承担不低于本协议的保密义务。</w:t>
      </w:r>
    </w:p>
    <w:p>
      <w:pPr>
        <w:keepNext w:val="0"/>
        <w:spacing w:before="0" w:after="60" w:line="372" w:lineRule="auto"/>
        <w:ind w:left="44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法律要求披露时，应在法律允许范围内提前通知披露方，并尽可能缩小披露范围。</w:t>
      </w:r>
    </w:p>
    <w:p>
      <w:pPr>
        <w:keepNext w:val="0"/>
        <w:spacing w:before="0" w:after="60" w:line="372" w:lineRule="auto"/>
        <w:ind w:left="44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如双方选择约定违约金，应结合项目价值、可预见损失与证据难度合理填写，避免明显失衡。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FF8E8"/>
            <w:tcBorders>
              <w:top w:val="single" w:sz="10" w:color="CAA15F"/>
              <w:left w:val="single" w:sz="10" w:color="CAA15F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40" w:line="372" w:lineRule="auto"/>
              <w:jc w:val="both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主要制定依据</w:t>
            </w:r>
          </w:p>
          <w:p>
            <w:pPr>
              <w:keepNext w:val="0"/>
              <w:spacing w:before="0" w:after="0" w:line="372" w:lineRule="auto"/>
              <w:jc w:val="both"/>
            </w:pPr>
            <w:r>
              <w:rPr>
                <w:rFonts w:ascii="Noto Sans CJK SC" w:hAnsi="Noto Sans CJK SC" w:eastAsia="Noto Sans CJK SC"/>
                <w:b w:val="0"/>
                <w:color w:val="526B69"/>
                <w:sz w:val="21"/>
              </w:rPr>
              <w:t>参照《中华人民共和国民法典》关于缔约及履约保密义务的规定、《中华人民共和国反不正当竞争法》关于商业秘密保护的规定，以及《中华人民共和国个人信息保护法》《中华人民共和国数据安全法》等现行规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 w:val="0"/>
        <w:spacing w:before="0" w:after="100" w:line="372" w:lineRule="auto"/>
        <w:jc w:val="both"/>
      </w:pPr>
      <w:r>
        <w:rPr>
          <w:rFonts w:ascii="Noto Sans CJK SC" w:hAnsi="Noto Sans CJK SC" w:eastAsia="Noto Sans CJK SC"/>
          <w:b/>
          <w:color w:val="0F4B5A"/>
          <w:sz w:val="38"/>
        </w:rPr>
        <w:t>制造改善项目双向保密协议</w:t>
      </w:r>
    </w:p>
    <w:p>
      <w:pPr>
        <w:keepNext w:val="0"/>
        <w:spacing w:before="0" w:after="100" w:line="372" w:lineRule="auto"/>
        <w:ind w:firstLine="440"/>
        <w:jc w:val="both"/>
      </w:pPr>
      <w:r>
        <w:rPr>
          <w:rFonts w:ascii="Noto Sans CJK SC" w:hAnsi="Noto Sans CJK SC" w:eastAsia="Noto Sans CJK SC"/>
          <w:b w:val="0"/>
          <w:color w:val="182420"/>
          <w:sz w:val="22"/>
        </w:rPr>
        <w:t>本协议由以下双方在平等、自愿、诚实信用的基础上，就项目洽谈、诊断、方案设计、现场实施、数据分析、验收复盘及其他合作过程中涉及的保密信息保护事宜订立。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175"/>
        <w:gridCol w:w="1361"/>
        <w:gridCol w:w="3175"/>
      </w:tblGrid>
      <w:tr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甲方名称／姓名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乙方名称／姓名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统一社会信用代码／身份证后四位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统一社会信用代码／身份证后四位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法定代表人／授权代表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法定代表人／授权代表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联系地址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联系地址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联系人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联系人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电话／邮箱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电话／邮箱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项目名称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  <w:tc>
          <w:tcPr>
            <w:tcW w:type="dxa" w:w="2338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项目名称</w:t>
            </w:r>
          </w:p>
        </w:tc>
        <w:tc>
          <w:tcPr>
            <w:tcW w:type="dxa" w:w="2338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</w:tbl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第一条  目的、适用与基本原则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本协议旨在保护双方在合作前、合作中及合作后披露或形成的保密信息，仅允许接收方为本协议约定的“许可目的”使用相关信息。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本协议为双向保密协议。任何一方均可能同时具有披露方和接收方身份，相关权利义务依实际资料流向分别适用。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双方应遵循合法、正当、必要、诚信和最小授权原则，并结合资料敏感程度采取相适应的管理、技术和物理保护措施。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第二条  定义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“许可目的”是指双方就以下项目开展可行性评估、商务洽谈、现场诊断、方案设计、报价、合同评审、实施交付、验收、维护、复盘或经双方书面确认的其他用途：____________________________。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“保密信息”是指披露方以书面、口头、电子、实物、现场展示、系统访问或其他方式向接收方披露，或者接收方在项目中知悉、观察、测量、推导、整理、分析形成的，尚未公开且具有保密价值的信息。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保密信息包括但不限于：</w:t>
      </w:r>
    </w:p>
    <w:p>
      <w:pPr>
        <w:keepNext w:val="0"/>
        <w:spacing w:before="0" w:after="60" w:line="372" w:lineRule="auto"/>
        <w:ind w:left="80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技术及工程信息：产品结构、图纸、BOM、规格、样件、软件、源代码、算法、设备参数、工艺路线、工装治具、测试方法、失效分析、PFMEA、控制计划及技术诀窍；</w:t>
      </w:r>
    </w:p>
    <w:p>
      <w:pPr>
        <w:keepNext w:val="0"/>
        <w:spacing w:before="0" w:after="60" w:line="372" w:lineRule="auto"/>
        <w:ind w:left="80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生产及运营信息：产能、标准工时、节拍、UPH／UPPH、OEE、良率、损耗、WIP、库存、排程、交付、换型、线平衡、Layout、物流路径及现场稽核记录；</w:t>
      </w:r>
    </w:p>
    <w:p>
      <w:pPr>
        <w:keepNext w:val="0"/>
        <w:spacing w:before="0" w:after="60" w:line="372" w:lineRule="auto"/>
        <w:ind w:left="80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经营及财务信息：报价、成本、毛利、预算、投资、收益测算、采购价格、供应商、客户、订单、销售策略、合同条件及付款信息；</w:t>
      </w:r>
    </w:p>
    <w:p>
      <w:pPr>
        <w:keepNext w:val="0"/>
        <w:spacing w:before="0" w:after="60" w:line="372" w:lineRule="auto"/>
        <w:ind w:left="80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数智化及数据资产：ERP／MES／APS／WMS等系统数据、账号权限、接口、数据库结构、报表、配置、日志、模型、分析结果及网络架构；</w:t>
      </w:r>
    </w:p>
    <w:p>
      <w:pPr>
        <w:keepNext w:val="0"/>
        <w:spacing w:before="0" w:after="60" w:line="372" w:lineRule="auto"/>
        <w:ind w:left="80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组织及个人信息：组织架构、岗位、薪酬、绩效、联系方式、身份信息、考勤、健康、安全及其他可识别自然人的信息；</w:t>
      </w:r>
    </w:p>
    <w:p>
      <w:pPr>
        <w:keepNext w:val="0"/>
        <w:spacing w:before="0" w:after="60" w:line="372" w:lineRule="auto"/>
        <w:ind w:left="800" w:hanging="280"/>
        <w:jc w:val="both"/>
      </w:pPr>
      <w:r>
        <w:rPr>
          <w:rFonts w:ascii="Noto Sans CJK SC" w:hAnsi="Noto Sans CJK SC" w:eastAsia="Noto Sans CJK SC"/>
          <w:b/>
          <w:color w:val="CAA15F"/>
          <w:sz w:val="22"/>
        </w:rPr>
        <w:t>•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项目成果及衍生信息：调研记录、会议纪要、照片、录音录像、问题清单、方案、模型、测算、报告、源文件、复盘资料及从保密信息推导出的结论。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4.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无论资料是否加盖“保密”“机密”“受控”等标识，只要根据资料性质、披露场景或双方关系，接收方知道或应当知道其具有保密性，均应按本协议保护。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第三条  不属于保密信息的情形</w:t>
      </w:r>
    </w:p>
    <w:p>
      <w:pPr>
        <w:keepNext w:val="0"/>
        <w:spacing w:before="0" w:after="100" w:line="372" w:lineRule="auto"/>
        <w:ind w:firstLine="440"/>
        <w:jc w:val="both"/>
      </w:pPr>
      <w:r>
        <w:rPr>
          <w:rFonts w:ascii="Noto Sans CJK SC" w:hAnsi="Noto Sans CJK SC" w:eastAsia="Noto Sans CJK SC"/>
          <w:b w:val="0"/>
          <w:color w:val="182420"/>
          <w:sz w:val="22"/>
        </w:rPr>
        <w:t>接收方能够以合法、可核验的书面证据证明存在下列任一情形的，相应信息不受本协议保密限制；但仅因若干公开信息组合后可推知整体方案的，不当然视为整体方案已公开。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（1）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在披露时已经合法进入公共领域，且并非因接收方或其相关人员违反义务所致；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（2）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接收方在披露前已合法掌握，且不负有其他保密义务；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（3）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接收方未使用披露方保密信息而独立开发或独立取得；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（4）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从有权披露且不负保密义务的第三方合法取得；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（5）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披露方以书面方式明确同意公开或解除保密限制。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第四条  保密信息的允许使用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接收方仅可在许可目的、必要范围和授权期限内使用保密信息，不得用于与项目无关的经营竞争、复制仿制、绕开交易、客户挖掘、员工招揽、知识产权申请、公开培训、营销宣传或其他不当目的。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接收方不得反向工程、反编译、拆解或以其他方式分析披露方提供的样品、软件、设备、文件或系统，但项目书面范围明确允许的除外。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披露保密信息不构成任何专利、商标、著作权、商业秘密、数据权益或其他知识产权的转让、许可或放弃。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第五条  接收方的保密与安全义务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（1）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采用不低于保护自身同类重要信息的谨慎程度，并至少采取合理的安全措施；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（2）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实行“确有必要知悉”原则，仅向为许可目的必须接触信息的员工、管理人员或经书面批准的专业顾问开放；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（3）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设置访问权限、强密码、多因素认证、传输加密、终端防护、日志留存、版本控制和适当的物理访问限制；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（4）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未经披露方书面同意，不得擅自复制、下载、截屏、摄影、录音、录像、打印、外带或转存保密信息；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（5）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不得将保密信息发送至私人邮箱、个人网盘、公开代码仓库、未经批准的即时通信群、公共AI模型或其他不可控平台；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（6）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发现或合理怀疑信息丢失、误发、越权访问、泄露、篡改、勒索、恶意代码或其他安全事件时，应立即采取止损措施，并在不迟于二十四小时内通知披露方；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（7）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配合披露方开展合理的事实核验、风险评估、补救、通知、审计和证据保全，但不应因此不合理干扰接收方正常经营。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第六条  人员、关联方与第三方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接收方应确保获准接触保密信息的员工、关联方、供应商、分包商、外部顾问等承担不低于本协议的保密义务，并对其在授权范围内的行为承担相应责任。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未经披露方事先书面同意，接收方不得将保密信息交由境外主体处理，不得跨境传输、存储或远程访问；确需跨境处理的，双方应另行完成合规评估并签署书面文件。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接收方不得以合作为由绕过披露方，直接与披露方客户、供应商、员工或其他业务资源开展基于保密信息的交易或招揽；双方另有书面约定的除外。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第七条  个人信息、数据与人工智能使用边界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涉及个人信息时，双方应明确处理目的、范围、方式、保存期限、访问人员和安全措施，原则上采用去标识化、匿名化或最小字段方式处理。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涉及重要数据、敏感业务数据或受客户合同限制的数据时，接收方应服从披露方的数据分级、授权、存储、导出和销毁规则。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未经披露方书面同意，不得将含有客户名称、产品图纸、工艺参数、成本、订单、人员信息、系统账号、源代码或其他受控内容的材料输入公共AI服务。经允许使用AI时，应优先采用企业受控环境，并对输入、输出、权限和留存记录进行管理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4.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AI生成或辅助形成的内容必须由具备相应权限和专业能力的人员复核，不得因使用AI而降低本协议约定的保密与安全标准。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第八条  现场访问、摄影及公开展示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接收方进入披露方办公、生产、仓储、实验室、机房或其他受控区域时，应遵守现场安全、信息安全、摄影、访客、设备和文件管理制度。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未经书面授权，不得拍摄、录音录像、直播、扫描、复制或对外发布现场、人员、设备、产品、看板、文件、屏幕、样件和数据。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将项目内容用于案例、履历、投标、培训、公众号、网站、社交媒体或媒体报道前，应取得披露方书面授权；脱敏、遮挡或去标识化不等同于已获得公开授权。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4.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经授权公开时，双方应明确可公开内容、渠道、期限、署名、审核流程及撤回机制；任何一方不得作虚假、误导或超出实际贡献的成果表述。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第九条  资料所有权、知识产权与项目成果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披露方对其原有资料、技术、方法、数据及知识产权保留全部权利。接收方因履行项目形成的交付物、源文件、模型、程序、改进方案、数据成果及知识产权归属，以项目合同约定为准。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在项目合同未明确约定前，本协议不授予接收方任何商业化使用、再许可、销售、复制、公开或知识产权申请权利。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任何一方不得擅自删除、修改或规避资料中的权利声明、保密标识、水印、访问控制和追溯标识。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第十条  返还、删除、销毁与备份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披露方书面要求、许可目的完成、合作终止或本协议解除时，接收方应在五个工作日内停止使用，并按披露方要求返还、删除或销毁保密信息及其复制件、摘录、缓存和衍生资料。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因法律、审计、灾备或信息系统自动备份机制必须保留的副本，可在必要范围内继续保存，但应隔离访问、不得恢复用于业务，并持续受本协议约束。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披露方可要求接收方提交附件二所示的《保密资料归还／销毁确认书》或其他合理证明。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第十一条  保密期限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本协议自双方签署之日起生效，有效期为____年；在有效期内发生的披露均受本协议约束。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除双方另有书面约定外，接收方的保密义务自每项信息披露之日起持续五年。属于商业秘密的信息，在其依法不再构成商业秘密前持续有效；个人信息和依法应持续保护的数据，按法律及书面约定执行。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本协议终止、解除、未能达成项目合同，或项目合同无效、被撤销，不影响保密、知识产权、违约责任和争议解决条款继续有效。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第十二条  违约、损失控制与责任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任何一方违反本协议，应立即停止违约行为、采取补救措施、追回或隔离已披露信息，并及时向守约方报告事实、影响范围和处置进展。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违约方应赔偿守约方因此遭受的实际损失以及为调查、取证、通知、补救、维权所支出的合理费用，包括但不限于律师费、诉讼／仲裁费、保全费、公证费、鉴定费、差旅费和第三方应急处置费用。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如双方选择约定违约金，可填写：每次／每项重大违约的违约金为人民币（大写）____________________元（￥__________）；未填写或该约定依法需调整的，不影响守约方按实际损失主张权利。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4.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双方确认，保密信息泄露可能造成难以用金钱完全弥补的损害。守约方有权依法申请行为保全、证据保全、财产保全或其他紧急救济。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5.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任何条款均不排除一方因故意、重大过失、侵犯商业秘密、非法处理个人信息或其他依法不得限制的行为应承担的责任。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第十三条  依法必须披露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接收方因法律法规、监管要求、证券交易规则、行政机关或司法机关的有效要求必须披露保密信息的，不视为违约，但应在法律允许范围内尽快书面通知披露方。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接收方应仅披露依法必须的最小范围，并合理配合披露方申请保密审查、保护令、延期披露或其他保护措施。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第十四条  陈述、无承诺与合作关系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披露方应尽合理努力保证其有权披露相关信息，但除双方书面明确承诺外，不对信息的完整性、适销性、特定目的适用性或项目结果作当然保证。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本协议不构成任何一方必须签订项目合同、采购产品、支付费用、授予独家权利或建立代理、合伙、劳动、合资关系的承诺。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双方签署项目合同后，本协议与项目合同共同适用；如保密标准不一致，在不违反强制性法律规定的前提下，以保护程度更高的约定为准，项目合同明确排除的除外。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第十五条  通知与送达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双方以本协议首页所列地址、电话和邮箱作为通知及送达信息。发生变更的一方应在三个工作日内书面通知另一方，否则原信息仍可作为有效联系和送达依据。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一般业务通知可通过电子邮件、项目系统或双方确认的即时通信工具发送；涉及解除、索赔、争议、账户变更或重大安全事件的通知，应采用可留存和核验的书面方式。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第十六条  适用法律与争议解决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本协议的订立、效力、解释、履行和争议解决适用中华人民共和国法律（为本协议之目的，不含港澳台地区法律及法律冲突规则）。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因本协议产生或与本协议有关的争议，双方应先友好协商；协商不成，双方选择以下第____种方式解决：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（1）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向被告住所地有管辖权的人民法院提起诉讼；</w:t>
      </w:r>
    </w:p>
    <w:p>
      <w:pPr>
        <w:keepNext w:val="0"/>
        <w:spacing w:before="0" w:after="80" w:line="372" w:lineRule="auto"/>
        <w:ind w:left="440" w:hanging="44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（2）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向________________仲裁委员会申请仲裁，仲裁地为________________，仲裁裁决为终局。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争议期间，除争议事项外，双方仍应继续履行不受影响的保密、安全、返还销毁及其他义务。</w:t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26"/>
        </w:rPr>
        <w:t>第十七条  其他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1.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本协议的修改、补充、授权、豁免或解除，应采用双方签署的书面文件。任何一方未及时行使权利，不构成对该权利的放弃。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2.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本协议任何条款被认定无效或不可执行，不影响其他条款的效力；双方应以最接近原商业目的且合法有效的条款替代。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3.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本协议可采用纸质签字盖章、可靠电子签名、双方确认的电子签署平台或扫描件方式签署；依法有效的电子文本与纸质原件具有同等效力。</w:t>
      </w:r>
    </w:p>
    <w:p>
      <w:pPr>
        <w:keepNext w:val="0"/>
        <w:spacing w:before="0" w:after="80" w:line="372" w:lineRule="auto"/>
        <w:ind w:left="0" w:firstLine="0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4.</w:t>
      </w:r>
      <w:r>
        <w:rPr>
          <w:rFonts w:ascii="Noto Sans CJK SC" w:hAnsi="Noto Sans CJK SC" w:eastAsia="Noto Sans CJK SC"/>
          <w:b w:val="0"/>
          <w:color w:val="182420"/>
          <w:sz w:val="22"/>
        </w:rPr>
        <w:t xml:space="preserve"> 本协议正本一式____份，甲方执____份，乙方执____份，具有同等法律效力。附件为本协议不可分割的组成部分。</w:t>
      </w:r>
    </w:p>
    <w:p>
      <w:r>
        <w:br w:type="page"/>
      </w:r>
    </w:p>
    <w:p>
      <w:pPr>
        <w:pStyle w:val="ClauseHeading"/>
      </w:pPr>
      <w:r>
        <w:rPr>
          <w:rFonts w:ascii="Noto Sans CJK SC" w:hAnsi="Noto Sans CJK SC" w:eastAsia="Noto Sans CJK SC"/>
          <w:b/>
          <w:color w:val="0F4B5A"/>
          <w:sz w:val="30"/>
        </w:rPr>
        <w:t>签署页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EEF8F6"/>
            <w:tcBorders>
              <w:top w:val="single" w:sz="10" w:color="CAA15F"/>
              <w:left w:val="single" w:sz="10" w:color="CAA15F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40" w:line="372" w:lineRule="auto"/>
              <w:jc w:val="both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签署确认</w:t>
            </w:r>
          </w:p>
          <w:p>
            <w:pPr>
              <w:keepNext w:val="0"/>
              <w:spacing w:before="0" w:after="0" w:line="372" w:lineRule="auto"/>
              <w:jc w:val="both"/>
            </w:pPr>
            <w:r>
              <w:rPr>
                <w:rFonts w:ascii="Noto Sans CJK SC" w:hAnsi="Noto Sans CJK SC" w:eastAsia="Noto Sans CJK SC"/>
                <w:b w:val="0"/>
                <w:color w:val="526B69"/>
                <w:sz w:val="21"/>
              </w:rPr>
              <w:t>双方确认：已充分阅读并理解本协议全部条款，特别是保密范围、使用限制、违约责任、争议解决及电子签署条款；签署人具有合法、充分的签署权限。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21"/>
              </w:rPr>
              <w:t>甲方（披露方／接收方）</w:t>
            </w:r>
          </w:p>
        </w:tc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21"/>
              </w:rPr>
              <w:t>乙方（披露方／接收方）</w:t>
            </w:r>
          </w:p>
        </w:tc>
      </w:tr>
      <w:tr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名称／姓名：</w:t>
            </w:r>
          </w:p>
        </w:tc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名称／姓名：</w:t>
            </w:r>
          </w:p>
        </w:tc>
      </w:tr>
      <w:tr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统一社会信用代码／身份证后四位：</w:t>
            </w:r>
          </w:p>
        </w:tc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统一社会信用代码／身份证后四位：</w:t>
            </w:r>
          </w:p>
        </w:tc>
      </w:tr>
      <w:tr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法定代表人／授权代表：</w:t>
            </w:r>
          </w:p>
        </w:tc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法定代表人／授权代表：</w:t>
            </w:r>
          </w:p>
        </w:tc>
      </w:tr>
      <w:tr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联系地址：</w:t>
            </w:r>
          </w:p>
        </w:tc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联系地址：</w:t>
            </w:r>
          </w:p>
        </w:tc>
      </w:tr>
      <w:tr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联系电话／邮箱：</w:t>
            </w:r>
          </w:p>
        </w:tc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联系电话／邮箱：</w:t>
            </w:r>
          </w:p>
        </w:tc>
      </w:tr>
      <w:tr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签字／盖章：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21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21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21"/>
              </w:rPr>
            </w:r>
          </w:p>
        </w:tc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签字／盖章：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21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21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21"/>
              </w:rPr>
            </w:r>
          </w:p>
        </w:tc>
      </w:tr>
      <w:tr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签署日期：       年    月    日</w:t>
            </w:r>
          </w:p>
        </w:tc>
        <w:tc>
          <w:tcPr>
            <w:tcW w:type="dxa" w:w="4677"/>
            <w:vAlign w:val="center"/>
            <w:shd w:fill="F7FBFA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82420"/>
                <w:sz w:val="21"/>
              </w:rPr>
              <w:t>签署日期：       年    月    日</w:t>
            </w:r>
          </w:p>
        </w:tc>
      </w:tr>
    </w:tbl>
    <w:p/>
    <w:p>
      <w:r>
        <w:br w:type="page"/>
      </w:r>
    </w:p>
    <w:p>
      <w:pPr>
        <w:keepNext w:val="0"/>
        <w:spacing w:before="0" w:after="80" w:line="372" w:lineRule="auto"/>
        <w:jc w:val="both"/>
      </w:pPr>
      <w:r>
        <w:rPr>
          <w:rFonts w:ascii="Noto Sans CJK SC" w:hAnsi="Noto Sans CJK SC" w:eastAsia="Noto Sans CJK SC"/>
          <w:b/>
          <w:color w:val="0F4B5A"/>
          <w:sz w:val="34"/>
        </w:rPr>
        <w:t>附件一：项目保密资料清单及分级</w:t>
      </w:r>
    </w:p>
    <w:p>
      <w:pPr>
        <w:keepNext w:val="0"/>
        <w:spacing w:before="0" w:after="100" w:line="372" w:lineRule="auto"/>
        <w:ind w:firstLine="440"/>
        <w:jc w:val="both"/>
      </w:pPr>
      <w:r>
        <w:rPr>
          <w:rFonts w:ascii="Noto Sans CJK SC" w:hAnsi="Noto Sans CJK SC" w:eastAsia="Noto Sans CJK SC"/>
          <w:b w:val="0"/>
          <w:color w:val="182420"/>
          <w:sz w:val="22"/>
        </w:rPr>
        <w:t>本清单用于记录项目资料、敏感等级、允许用途、授权人员及保存期限。清单更新可由双方授权代表通过书面或可追溯电子方式确认。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EEF8F6"/>
            <w:tcBorders>
              <w:top w:val="single" w:sz="10" w:color="CAA15F"/>
              <w:left w:val="single" w:sz="10" w:color="CAA15F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40" w:line="372" w:lineRule="auto"/>
              <w:jc w:val="both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建议分级</w:t>
            </w:r>
          </w:p>
          <w:p>
            <w:pPr>
              <w:keepNext w:val="0"/>
              <w:spacing w:before="0" w:after="0" w:line="372" w:lineRule="auto"/>
              <w:jc w:val="both"/>
            </w:pPr>
            <w:r>
              <w:rPr>
                <w:rFonts w:ascii="Noto Sans CJK SC" w:hAnsi="Noto Sans CJK SC" w:eastAsia="Noto Sans CJK SC"/>
                <w:b w:val="0"/>
                <w:color w:val="526B69"/>
                <w:sz w:val="21"/>
              </w:rPr>
              <w:t>L1内部使用：一般项目资料；L2保密：未经授权不得复制或外发；L3机密：核心技术、成本、客户、个人信息等，仅限指定人员和受控环境。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84"/>
        <w:gridCol w:w="794"/>
        <w:gridCol w:w="624"/>
        <w:gridCol w:w="1191"/>
        <w:gridCol w:w="2324"/>
        <w:gridCol w:w="1701"/>
      </w:tblGrid>
      <w:tr>
        <w:trPr>
          <w:tblHeader w:val="true"/>
        </w:trPr>
        <w:tc>
          <w:tcPr>
            <w:tcW w:type="dxa" w:w="1336"/>
            <w:shd w:fill="0F4B5A"/>
            <w:tcBorders>
              <w:top w:val="single" w:sz="6" w:color="0F4B5A"/>
              <w:left w:val="single" w:sz="6" w:color="0F4B5A"/>
              <w:bottom w:val="single" w:sz="6" w:color="0F4B5A"/>
              <w:right w:val="single" w:sz="6" w:color="0F4B5A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336"/>
            <w:shd w:fill="0F4B5A"/>
            <w:tcBorders>
              <w:top w:val="single" w:sz="6" w:color="0F4B5A"/>
              <w:left w:val="single" w:sz="6" w:color="0F4B5A"/>
              <w:bottom w:val="single" w:sz="6" w:color="0F4B5A"/>
              <w:right w:val="single" w:sz="6" w:color="0F4B5A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资料名称／内容</w:t>
            </w:r>
          </w:p>
        </w:tc>
        <w:tc>
          <w:tcPr>
            <w:tcW w:type="dxa" w:w="1336"/>
            <w:shd w:fill="0F4B5A"/>
            <w:tcBorders>
              <w:top w:val="single" w:sz="6" w:color="0F4B5A"/>
              <w:left w:val="single" w:sz="6" w:color="0F4B5A"/>
              <w:bottom w:val="single" w:sz="6" w:color="0F4B5A"/>
              <w:right w:val="single" w:sz="6" w:color="0F4B5A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披露方</w:t>
            </w:r>
          </w:p>
        </w:tc>
        <w:tc>
          <w:tcPr>
            <w:tcW w:type="dxa" w:w="1336"/>
            <w:shd w:fill="0F4B5A"/>
            <w:tcBorders>
              <w:top w:val="single" w:sz="6" w:color="0F4B5A"/>
              <w:left w:val="single" w:sz="6" w:color="0F4B5A"/>
              <w:bottom w:val="single" w:sz="6" w:color="0F4B5A"/>
              <w:right w:val="single" w:sz="6" w:color="0F4B5A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336"/>
            <w:shd w:fill="0F4B5A"/>
            <w:tcBorders>
              <w:top w:val="single" w:sz="6" w:color="0F4B5A"/>
              <w:left w:val="single" w:sz="6" w:color="0F4B5A"/>
              <w:bottom w:val="single" w:sz="6" w:color="0F4B5A"/>
              <w:right w:val="single" w:sz="6" w:color="0F4B5A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载体／位置</w:t>
            </w:r>
          </w:p>
        </w:tc>
        <w:tc>
          <w:tcPr>
            <w:tcW w:type="dxa" w:w="1336"/>
            <w:shd w:fill="0F4B5A"/>
            <w:tcBorders>
              <w:top w:val="single" w:sz="6" w:color="0F4B5A"/>
              <w:left w:val="single" w:sz="6" w:color="0F4B5A"/>
              <w:bottom w:val="single" w:sz="6" w:color="0F4B5A"/>
              <w:right w:val="single" w:sz="6" w:color="0F4B5A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允许用途及人员</w:t>
            </w:r>
          </w:p>
        </w:tc>
        <w:tc>
          <w:tcPr>
            <w:tcW w:type="dxa" w:w="1336"/>
            <w:shd w:fill="0F4B5A"/>
            <w:tcBorders>
              <w:top w:val="single" w:sz="6" w:color="0F4B5A"/>
              <w:left w:val="single" w:sz="6" w:color="0F4B5A"/>
              <w:bottom w:val="single" w:sz="6" w:color="0F4B5A"/>
              <w:right w:val="single" w:sz="6" w:color="0F4B5A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保留至／处置要求</w:t>
            </w:r>
          </w:p>
        </w:tc>
      </w:tr>
      <w:tr>
        <w:tc>
          <w:tcPr>
            <w:tcW w:type="dxa" w:w="510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1</w:t>
            </w:r>
            <w:r>
              <w:br/>
            </w:r>
          </w:p>
        </w:tc>
        <w:tc>
          <w:tcPr>
            <w:tcW w:type="dxa" w:w="198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  <w:tr>
        <w:tc>
          <w:tcPr>
            <w:tcW w:type="dxa" w:w="510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2</w:t>
            </w:r>
            <w:r>
              <w:br/>
            </w:r>
          </w:p>
        </w:tc>
        <w:tc>
          <w:tcPr>
            <w:tcW w:type="dxa" w:w="198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  <w:tr>
        <w:tc>
          <w:tcPr>
            <w:tcW w:type="dxa" w:w="510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3</w:t>
            </w:r>
            <w:r>
              <w:br/>
            </w:r>
          </w:p>
        </w:tc>
        <w:tc>
          <w:tcPr>
            <w:tcW w:type="dxa" w:w="198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  <w:tr>
        <w:tc>
          <w:tcPr>
            <w:tcW w:type="dxa" w:w="510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4</w:t>
            </w:r>
            <w:r>
              <w:br/>
            </w:r>
          </w:p>
        </w:tc>
        <w:tc>
          <w:tcPr>
            <w:tcW w:type="dxa" w:w="198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  <w:tr>
        <w:tc>
          <w:tcPr>
            <w:tcW w:type="dxa" w:w="510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5</w:t>
            </w:r>
            <w:r>
              <w:br/>
            </w:r>
          </w:p>
        </w:tc>
        <w:tc>
          <w:tcPr>
            <w:tcW w:type="dxa" w:w="198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  <w:tr>
        <w:tc>
          <w:tcPr>
            <w:tcW w:type="dxa" w:w="510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6</w:t>
            </w:r>
            <w:r>
              <w:br/>
            </w:r>
          </w:p>
        </w:tc>
        <w:tc>
          <w:tcPr>
            <w:tcW w:type="dxa" w:w="198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  <w:tr>
        <w:tc>
          <w:tcPr>
            <w:tcW w:type="dxa" w:w="510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7</w:t>
            </w:r>
            <w:r>
              <w:br/>
            </w:r>
          </w:p>
        </w:tc>
        <w:tc>
          <w:tcPr>
            <w:tcW w:type="dxa" w:w="198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FFFFF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  <w:tr>
        <w:tc>
          <w:tcPr>
            <w:tcW w:type="dxa" w:w="510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8</w:t>
            </w:r>
            <w:r>
              <w:br/>
            </w:r>
          </w:p>
        </w:tc>
        <w:tc>
          <w:tcPr>
            <w:tcW w:type="dxa" w:w="198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79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6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  <w:t>L1／L2／L3</w:t>
            </w:r>
            <w:r>
              <w:br/>
            </w:r>
          </w:p>
        </w:tc>
        <w:tc>
          <w:tcPr>
            <w:tcW w:type="dxa" w:w="119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2324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  <w:tc>
          <w:tcPr>
            <w:tcW w:type="dxa" w:w="1701"/>
            <w:vAlign w:val="center"/>
            <w:shd w:fill="F7FBFA"/>
            <w:tcBorders>
              <w:top w:val="single" w:sz="5" w:color="C8DAD8"/>
              <w:left w:val="single" w:sz="5" w:color="C8DAD8"/>
              <w:bottom w:val="single" w:sz="5" w:color="C8DAD8"/>
              <w:right w:val="single" w:sz="5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7"/>
              </w:rPr>
            </w:r>
            <w:r>
              <w:br/>
            </w:r>
          </w:p>
        </w:tc>
      </w:tr>
    </w:tbl>
    <w:p>
      <w:pPr>
        <w:keepNext w:val="0"/>
        <w:spacing w:before="160" w:after="60" w:line="372" w:lineRule="auto"/>
        <w:jc w:val="both"/>
      </w:pPr>
      <w:r>
        <w:rPr>
          <w:rFonts w:ascii="Noto Sans CJK SC" w:hAnsi="Noto Sans CJK SC" w:eastAsia="Noto Sans CJK SC"/>
          <w:b/>
          <w:color w:val="0F4B5A"/>
          <w:sz w:val="21"/>
        </w:rPr>
        <w:t>双方确认：</w:t>
      </w:r>
      <w:r>
        <w:rPr>
          <w:rFonts w:ascii="Noto Sans CJK SC" w:hAnsi="Noto Sans CJK SC" w:eastAsia="Noto Sans CJK SC"/>
          <w:b w:val="0"/>
          <w:color w:val="182420"/>
          <w:sz w:val="20"/>
        </w:rPr>
        <w:t>甲方授权代表签字：________________  日期：____________    乙方授权代表签字：________________  日期：____________</w:t>
      </w:r>
    </w:p>
    <w:p>
      <w:r>
        <w:br w:type="page"/>
      </w:r>
    </w:p>
    <w:p>
      <w:pPr>
        <w:keepNext w:val="0"/>
        <w:spacing w:before="0" w:after="80" w:line="372" w:lineRule="auto"/>
        <w:jc w:val="both"/>
      </w:pPr>
      <w:r>
        <w:rPr>
          <w:rFonts w:ascii="Noto Sans CJK SC" w:hAnsi="Noto Sans CJK SC" w:eastAsia="Noto Sans CJK SC"/>
          <w:b/>
          <w:color w:val="0F4B5A"/>
          <w:sz w:val="34"/>
        </w:rPr>
        <w:t>附件二：保密资料归还／销毁确认书</w:t>
      </w:r>
    </w:p>
    <w:p>
      <w:pPr>
        <w:keepNext w:val="0"/>
        <w:spacing w:before="0" w:after="100" w:line="372" w:lineRule="auto"/>
        <w:ind w:firstLine="440"/>
        <w:jc w:val="both"/>
      </w:pPr>
      <w:r>
        <w:rPr>
          <w:rFonts w:ascii="Noto Sans CJK SC" w:hAnsi="Noto Sans CJK SC" w:eastAsia="Noto Sans CJK SC"/>
          <w:b w:val="0"/>
          <w:color w:val="182420"/>
          <w:sz w:val="22"/>
        </w:rPr>
        <w:t>根据双方签署的《制造改善项目双向保密协议》，确认方对所接收保密资料的返还、删除、销毁及例外保留情况作如下确认。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520"/>
      </w:tblGrid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项目名称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确认方名称／姓名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资料披露方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处置日期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处置范围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  <w:t>□ 纸质资料   □ 电子文件   □ 样件／实物   □ 账号／权限   □ 其他：________</w:t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处置方式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  <w:t>□ 已全部返还   □ 已安全删除   □ 已物理销毁   □ 已关闭权限   □ 依法／灾备保留</w:t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例外保留说明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  <w:t>保留内容、法律依据、保存位置、访问权限、预计删除日期：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</w:r>
          </w:p>
        </w:tc>
      </w:tr>
      <w:tr>
        <w:tc>
          <w:tcPr>
            <w:tcW w:type="dxa" w:w="4677"/>
            <w:vAlign w:val="center"/>
            <w:shd w:fill="EEF8F6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4B5A"/>
                <w:sz w:val="19"/>
              </w:rPr>
              <w:t>确认声明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6" w:color="C8DAD8"/>
              <w:left w:val="single" w:sz="6" w:color="C8DAD8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0" w:line="37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82420"/>
                <w:sz w:val="19"/>
              </w:rPr>
              <w:t>除上述例外保留外，本方已停止使用并完成返还、删除或销毁；不存在未经授权的复制、转存或继续使用。</w:t>
            </w:r>
          </w:p>
        </w:tc>
      </w:tr>
    </w:tbl>
    <w:p>
      <w:pPr>
        <w:keepNext w:val="0"/>
        <w:spacing w:before="240" w:after="80" w:line="372" w:lineRule="auto"/>
        <w:jc w:val="both"/>
      </w:pPr>
      <w:r>
        <w:rPr>
          <w:rFonts w:ascii="Noto Sans CJK SC" w:hAnsi="Noto Sans CJK SC" w:eastAsia="Noto Sans CJK SC"/>
          <w:b/>
          <w:color w:val="0F4B5A"/>
          <w:sz w:val="22"/>
        </w:rPr>
        <w:t>确认方（签字／盖章）：________________________</w:t>
      </w:r>
    </w:p>
    <w:p>
      <w:pPr>
        <w:keepNext w:val="0"/>
        <w:spacing w:before="0" w:after="80" w:line="372" w:lineRule="auto"/>
        <w:jc w:val="both"/>
      </w:pPr>
      <w:r>
        <w:rPr>
          <w:rFonts w:ascii="Noto Sans CJK SC" w:hAnsi="Noto Sans CJK SC" w:eastAsia="Noto Sans CJK SC"/>
          <w:b w:val="0"/>
          <w:color w:val="182420"/>
          <w:sz w:val="21"/>
        </w:rPr>
        <w:t>授权代表：________________________    日期：_______年____月____日</w:t>
      </w:r>
    </w:p>
    <w:p>
      <w:pPr>
        <w:keepNext w:val="0"/>
        <w:spacing w:before="0" w:after="80" w:line="372" w:lineRule="auto"/>
        <w:jc w:val="both"/>
      </w:pPr>
      <w:r>
        <w:rPr>
          <w:rFonts w:ascii="Noto Sans CJK SC" w:hAnsi="Noto Sans CJK SC" w:eastAsia="Noto Sans CJK SC"/>
          <w:b w:val="0"/>
          <w:color w:val="182420"/>
          <w:sz w:val="21"/>
        </w:rPr>
        <w:t>披露方接收／核验：__________________    日期：_______年____月____日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FF8E8"/>
            <w:tcBorders>
              <w:top w:val="single" w:sz="10" w:color="CAA15F"/>
              <w:left w:val="single" w:sz="10" w:color="CAA15F"/>
              <w:bottom w:val="single" w:sz="6" w:color="C8DAD8"/>
              <w:right w:val="single" w:sz="6" w:color="C8DAD8"/>
            </w:tcBorders>
          </w:tcPr>
          <w:p>
            <w:pPr>
              <w:keepNext w:val="0"/>
              <w:spacing w:before="0" w:after="40" w:line="372" w:lineRule="auto"/>
              <w:jc w:val="both"/>
            </w:pPr>
            <w:r>
              <w:rPr>
                <w:rFonts w:ascii="Noto Sans CJK SC" w:hAnsi="Noto Sans CJK SC" w:eastAsia="Noto Sans CJK SC"/>
                <w:b/>
                <w:color w:val="0F4B5A"/>
                <w:sz w:val="22"/>
              </w:rPr>
              <w:t>版本与使用提示</w:t>
            </w:r>
          </w:p>
          <w:p>
            <w:pPr>
              <w:keepNext w:val="0"/>
              <w:spacing w:before="0" w:after="0" w:line="372" w:lineRule="auto"/>
              <w:jc w:val="both"/>
            </w:pPr>
            <w:r>
              <w:rPr>
                <w:rFonts w:ascii="Noto Sans CJK SC" w:hAnsi="Noto Sans CJK SC" w:eastAsia="Noto Sans CJK SC"/>
                <w:b w:val="0"/>
                <w:color w:val="526B69"/>
                <w:sz w:val="21"/>
              </w:rPr>
              <w:t>本范本版本V1.0（2026-08-01），由QilyLean｜启力精益整理。正式签署前应结合项目主体、保密等级、数据范围、跨境要求、知识产权、违约责任及争议解决安排进行补充，并由双方授权代表确认。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76" w:bottom="1020" w:left="1276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73"/>
      <w:gridCol w:w="2381"/>
    </w:tblGrid>
    <w:tr>
      <w:tc>
        <w:tcPr>
          <w:tcW w:type="dxa" w:w="4677"/>
          <w:tcBorders>
            <w:top w:val="single" w:sz="8" w:color="C8DAD8"/>
          </w:tcBorders>
        </w:tcPr>
        <w:p>
          <w:pPr>
            <w:keepNext w:val="0"/>
            <w:spacing w:before="0" w:after="0" w:line="372" w:lineRule="auto"/>
            <w:jc w:val="left"/>
          </w:pPr>
          <w:r>
            <w:rPr>
              <w:rFonts w:ascii="Noto Sans CJK SC" w:hAnsi="Noto Sans CJK SC" w:eastAsia="Noto Sans CJK SC"/>
              <w:b w:val="0"/>
              <w:color w:val="526B69"/>
              <w:sz w:val="15"/>
            </w:rPr>
            <w:t>官网：qilylean.com｜信任中心：qilylean.com/trust/｜134 5001 4003</w:t>
          </w:r>
        </w:p>
      </w:tc>
      <w:tc>
        <w:tcPr>
          <w:tcW w:type="dxa" w:w="4677"/>
          <w:tcBorders>
            <w:top w:val="single" w:sz="8" w:color="C8DAD8"/>
          </w:tcBorders>
        </w:tcPr>
        <w:p>
          <w:pPr>
            <w:jc w:val="right"/>
          </w:pPr>
          <w:r>
            <w:rPr>
              <w:rFonts w:ascii="Noto Sans CJK SC" w:hAnsi="Noto Sans CJK SC"/>
              <w:color w:val="526B69"/>
              <w:sz w:val="18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/>
              <w:color w:val="526B69"/>
              <w:sz w:val="18"/>
            </w:rPr>
            <w:t xml:space="preserve"> 页 / 共 </w:t>
            <w:fldChar w:fldCharType="begin"/>
            <w:instrText xml:space="preserve"> NUMPAGES </w:instrText>
            <w:fldChar w:fldCharType="end"/>
          </w:r>
          <w:r>
            <w:rPr>
              <w:rFonts w:ascii="Noto Sans CJK SC" w:hAnsi="Noto Sans CJK SC"/>
              <w:color w:val="526B69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06"/>
      <w:gridCol w:w="4649"/>
    </w:tblGrid>
    <w:tr>
      <w:tc>
        <w:tcPr>
          <w:tcW w:type="dxa" w:w="4677"/>
          <w:tcBorders>
            <w:bottom w:val="single" w:sz="12" w:color="0F4B5A"/>
          </w:tcBorders>
        </w:tcPr>
        <w:p>
          <w:pPr>
            <w:keepNext w:val="0"/>
            <w:spacing w:before="0" w:after="40" w:line="372" w:lineRule="auto"/>
            <w:jc w:val="left"/>
          </w:pPr>
          <w:r>
            <w:rPr>
              <w:rFonts w:ascii="Noto Sans CJK SC" w:hAnsi="Noto Sans CJK SC" w:eastAsia="Noto Sans CJK SC"/>
              <w:b/>
              <w:color w:val="0F4B5A"/>
              <w:sz w:val="23"/>
            </w:rPr>
            <w:t>QilyLean｜启力精益</w:t>
          </w:r>
        </w:p>
      </w:tc>
      <w:tc>
        <w:tcPr>
          <w:tcW w:type="dxa" w:w="4677"/>
          <w:tcBorders>
            <w:bottom w:val="single" w:sz="12" w:color="0F4B5A"/>
          </w:tcBorders>
        </w:tcPr>
        <w:p>
          <w:pPr>
            <w:keepNext w:val="0"/>
            <w:spacing w:before="0" w:after="40" w:line="372" w:lineRule="auto"/>
            <w:jc w:val="right"/>
          </w:pPr>
          <w:r>
            <w:rPr>
              <w:rFonts w:ascii="Noto Sans CJK SC" w:hAnsi="Noto Sans CJK SC" w:eastAsia="Noto Sans CJK SC"/>
              <w:b/>
              <w:color w:val="526B69"/>
              <w:sz w:val="19"/>
            </w:rPr>
            <w:t>制造改善项目双向保密协议｜V1.0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Heading">
    <w:name w:val="ClauseHeading"/>
    <w:pPr>
      <w:keepNext/>
      <w:spacing w:before="220" w:after="120"/>
    </w:pPr>
    <w:rPr>
      <w:rFonts w:ascii="Noto Sans CJK SC" w:hAnsi="Noto Sans CJK SC" w:eastAsia="Noto Sans CJK SC"/>
      <w:b/>
      <w:color w:val="0F4B5A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制造改善项目双向保密协议</dc:title>
  <dc:subject>QilyLean制造改善、精益生产与数智化工厂项目通用双向保密协议范本</dc:subject>
  <dc:creator>QilyLean｜启力精益</dc:creator>
  <cp:keywords>NDA, 保密协议, 制造改善, 精益生产, 工业工程, 数智化工厂</cp:keywords>
  <dc:description>Word与PDF由同一DOCX源文件生成，内容一致。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