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hAnsi="黑体" w:eastAsia="黑体"/>
          <w:color w:val="002060"/>
        </w:rPr>
      </w:pPr>
    </w:p>
    <w:p>
      <w:pPr>
        <w:rPr>
          <w:rFonts w:ascii="黑体" w:hAnsi="黑体" w:eastAsia="黑体"/>
          <w:color w:val="002060"/>
        </w:rPr>
      </w:pPr>
    </w:p>
    <w:p>
      <w:pPr>
        <w:jc w:val="center"/>
        <w:rPr>
          <w:rFonts w:ascii="黑体" w:hAnsi="黑体" w:eastAsia="黑体"/>
          <w:color w:val="002060"/>
        </w:rPr>
      </w:pPr>
    </w:p>
    <w:p>
      <w:pPr>
        <w:jc w:val="center"/>
        <w:rPr>
          <w:rFonts w:ascii="黑体" w:hAnsi="黑体" w:eastAsia="黑体"/>
          <w:b/>
          <w:color w:val="002060"/>
          <w:sz w:val="84"/>
          <w:szCs w:val="84"/>
        </w:rPr>
      </w:pPr>
      <w:r>
        <w:rPr>
          <w:rFonts w:ascii="黑体" w:hAnsi="黑体" w:eastAsia="黑体"/>
          <w:b/>
          <w:color w:val="002060"/>
          <w:sz w:val="52"/>
          <w:szCs w:val="52"/>
        </w:rPr>
        <w:t>智慧农业标准种植</w:t>
      </w:r>
      <w:r>
        <w:rPr>
          <w:rFonts w:hint="eastAsia" w:ascii="黑体" w:hAnsi="黑体" w:eastAsia="黑体"/>
          <w:b/>
          <w:color w:val="002060"/>
          <w:sz w:val="52"/>
          <w:szCs w:val="52"/>
        </w:rPr>
        <w:t>（生态农场）APP</w:t>
      </w:r>
    </w:p>
    <w:p>
      <w:pPr>
        <w:jc w:val="center"/>
        <w:rPr>
          <w:rFonts w:ascii="黑体" w:hAnsi="黑体" w:eastAsia="黑体"/>
          <w:b/>
          <w:color w:val="002060"/>
          <w:sz w:val="56"/>
          <w:szCs w:val="56"/>
        </w:rPr>
      </w:pPr>
      <w:r>
        <w:rPr>
          <w:rFonts w:hint="eastAsia" w:ascii="黑体" w:hAnsi="黑体" w:eastAsia="黑体"/>
          <w:b/>
          <w:color w:val="002060"/>
          <w:sz w:val="56"/>
          <w:szCs w:val="56"/>
        </w:rPr>
        <w:t>市场需求文档</w:t>
      </w:r>
      <w:r>
        <w:rPr>
          <w:rFonts w:ascii="黑体" w:hAnsi="黑体" w:eastAsia="黑体"/>
          <w:b/>
          <w:color w:val="002060"/>
          <w:sz w:val="56"/>
          <w:szCs w:val="56"/>
        </w:rPr>
        <w:t>MRD</w:t>
      </w:r>
    </w:p>
    <w:p>
      <w:pPr>
        <w:jc w:val="center"/>
        <w:rPr>
          <w:rFonts w:ascii="黑体" w:hAnsi="黑体" w:eastAsia="黑体"/>
          <w:b/>
          <w:color w:val="002060"/>
          <w:sz w:val="84"/>
          <w:szCs w:val="84"/>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widowControl/>
        <w:jc w:val="left"/>
        <w:rPr>
          <w:rFonts w:ascii="黑体" w:hAnsi="黑体" w:eastAsia="黑体"/>
          <w:color w:val="002060"/>
        </w:rPr>
      </w:pPr>
      <w:r>
        <w:rPr>
          <w:rFonts w:ascii="黑体" w:hAnsi="黑体" w:eastAsia="黑体"/>
          <w:color w:val="002060"/>
        </w:rPr>
        <w:br w:type="page"/>
      </w:r>
    </w:p>
    <w:p>
      <w:pPr>
        <w:widowControl/>
        <w:jc w:val="left"/>
        <w:rPr>
          <w:rFonts w:ascii="黑体" w:hAnsi="黑体" w:eastAsia="黑体"/>
          <w:color w:val="002060"/>
        </w:rPr>
      </w:pPr>
    </w:p>
    <w:p>
      <w:pPr>
        <w:widowControl/>
        <w:jc w:val="left"/>
        <w:rPr>
          <w:rFonts w:ascii="黑体" w:hAnsi="黑体" w:eastAsia="黑体"/>
          <w:color w:val="002060"/>
        </w:rPr>
      </w:pPr>
    </w:p>
    <w:tbl>
      <w:tblPr>
        <w:tblStyle w:val="9"/>
        <w:tblpPr w:leftFromText="180" w:rightFromText="180" w:vertAnchor="text" w:horzAnchor="margin" w:tblpY="17"/>
        <w:tblW w:w="0" w:type="auto"/>
        <w:tblInd w:w="0" w:type="dxa"/>
        <w:tblBorders>
          <w:top w:val="single" w:color="00B0F0" w:sz="12" w:space="0"/>
          <w:left w:val="single" w:color="00B0F0" w:sz="12" w:space="0"/>
          <w:bottom w:val="single" w:color="00B0F0" w:sz="12" w:space="0"/>
          <w:right w:val="single" w:color="00B0F0" w:sz="12" w:space="0"/>
          <w:insideH w:val="single" w:color="00B0F0" w:sz="12" w:space="0"/>
          <w:insideV w:val="single" w:color="00B0F0" w:sz="12" w:space="0"/>
        </w:tblBorders>
        <w:tblLayout w:type="autofit"/>
        <w:tblCellMar>
          <w:top w:w="0" w:type="dxa"/>
          <w:left w:w="108" w:type="dxa"/>
          <w:bottom w:w="0" w:type="dxa"/>
          <w:right w:w="108" w:type="dxa"/>
        </w:tblCellMar>
      </w:tblPr>
      <w:tblGrid>
        <w:gridCol w:w="2585"/>
        <w:gridCol w:w="1312"/>
        <w:gridCol w:w="4512"/>
      </w:tblGrid>
      <w:tr>
        <w:tblPrEx>
          <w:tblBorders>
            <w:top w:val="single" w:color="00B0F0" w:sz="12" w:space="0"/>
            <w:left w:val="single" w:color="00B0F0" w:sz="12" w:space="0"/>
            <w:bottom w:val="single" w:color="00B0F0" w:sz="12" w:space="0"/>
            <w:right w:val="single" w:color="00B0F0" w:sz="12" w:space="0"/>
            <w:insideH w:val="single" w:color="00B0F0" w:sz="12" w:space="0"/>
            <w:insideV w:val="single" w:color="00B0F0" w:sz="12" w:space="0"/>
          </w:tblBorders>
          <w:tblCellMar>
            <w:top w:w="0" w:type="dxa"/>
            <w:left w:w="108" w:type="dxa"/>
            <w:bottom w:w="0" w:type="dxa"/>
            <w:right w:w="108" w:type="dxa"/>
          </w:tblCellMar>
        </w:tblPrEx>
        <w:trPr>
          <w:cantSplit/>
          <w:trHeight w:val="319" w:hRule="atLeast"/>
        </w:trPr>
        <w:tc>
          <w:tcPr>
            <w:tcW w:w="2585" w:type="dxa"/>
            <w:vMerge w:val="restart"/>
            <w:shd w:val="clear" w:color="auto" w:fill="auto"/>
          </w:tcPr>
          <w:p>
            <w:pPr>
              <w:rPr>
                <w:rFonts w:ascii="黑体" w:hAnsi="黑体" w:eastAsia="黑体"/>
                <w:color w:val="002060"/>
              </w:rPr>
            </w:pPr>
            <w:r>
              <w:rPr>
                <w:rFonts w:hint="eastAsia" w:ascii="黑体" w:hAnsi="黑体" w:eastAsia="黑体"/>
                <w:color w:val="002060"/>
              </w:rPr>
              <w:t>文件状态：</w:t>
            </w:r>
          </w:p>
          <w:p>
            <w:pPr>
              <w:ind w:firstLine="240" w:firstLineChars="100"/>
              <w:rPr>
                <w:rFonts w:ascii="黑体" w:hAnsi="黑体" w:eastAsia="黑体"/>
                <w:color w:val="002060"/>
              </w:rPr>
            </w:pPr>
            <w:r>
              <w:rPr>
                <w:rFonts w:hint="eastAsia" w:ascii="黑体" w:hAnsi="黑体" w:eastAsia="黑体"/>
                <w:color w:val="002060"/>
              </w:rPr>
              <w:t>[√] 草稿</w:t>
            </w:r>
          </w:p>
          <w:p>
            <w:pPr>
              <w:ind w:firstLine="240" w:firstLineChars="100"/>
              <w:rPr>
                <w:rFonts w:ascii="黑体" w:hAnsi="黑体" w:eastAsia="黑体"/>
                <w:color w:val="002060"/>
              </w:rPr>
            </w:pPr>
            <w:r>
              <w:rPr>
                <w:rFonts w:hint="eastAsia" w:ascii="黑体" w:hAnsi="黑体" w:eastAsia="黑体"/>
                <w:color w:val="002060"/>
              </w:rPr>
              <w:t>[  ] 正式发布</w:t>
            </w:r>
          </w:p>
          <w:p>
            <w:pPr>
              <w:ind w:firstLine="240" w:firstLineChars="100"/>
              <w:rPr>
                <w:rFonts w:ascii="黑体" w:hAnsi="黑体" w:eastAsia="黑体"/>
                <w:color w:val="002060"/>
              </w:rPr>
            </w:pPr>
            <w:r>
              <w:rPr>
                <w:rFonts w:hint="eastAsia" w:ascii="黑体" w:hAnsi="黑体" w:eastAsia="黑体"/>
                <w:color w:val="002060"/>
              </w:rPr>
              <w:t>[  ]</w:t>
            </w:r>
            <w:r>
              <w:rPr>
                <w:rFonts w:ascii="黑体" w:hAnsi="黑体" w:eastAsia="黑体"/>
                <w:color w:val="002060"/>
              </w:rPr>
              <w:t xml:space="preserve"> </w:t>
            </w:r>
            <w:r>
              <w:rPr>
                <w:rFonts w:hint="eastAsia" w:ascii="黑体" w:hAnsi="黑体" w:eastAsia="黑体"/>
                <w:color w:val="002060"/>
              </w:rPr>
              <w:t>正在修改</w:t>
            </w:r>
          </w:p>
        </w:tc>
        <w:tc>
          <w:tcPr>
            <w:tcW w:w="1312" w:type="dxa"/>
            <w:shd w:val="clear" w:color="auto" w:fill="002060"/>
          </w:tcPr>
          <w:p>
            <w:pPr>
              <w:rPr>
                <w:rFonts w:ascii="黑体" w:hAnsi="黑体" w:eastAsia="黑体"/>
                <w:color w:val="FFFFFF"/>
              </w:rPr>
            </w:pPr>
            <w:r>
              <w:rPr>
                <w:rFonts w:hint="eastAsia" w:ascii="黑体" w:hAnsi="黑体" w:eastAsia="黑体"/>
                <w:color w:val="FFFFFF"/>
              </w:rPr>
              <w:t>文件标识：</w:t>
            </w:r>
          </w:p>
        </w:tc>
        <w:tc>
          <w:tcPr>
            <w:tcW w:w="4512" w:type="dxa"/>
          </w:tcPr>
          <w:p>
            <w:pPr>
              <w:rPr>
                <w:rFonts w:ascii="黑体" w:hAnsi="黑体" w:eastAsia="黑体"/>
                <w:color w:val="002060"/>
              </w:rPr>
            </w:pPr>
            <w:r>
              <w:rPr>
                <w:rFonts w:hint="eastAsia" w:ascii="黑体" w:hAnsi="黑体" w:eastAsia="黑体"/>
                <w:color w:val="002060"/>
              </w:rPr>
              <w:t>农业农村实验室</w:t>
            </w:r>
          </w:p>
        </w:tc>
      </w:tr>
      <w:tr>
        <w:tblPrEx>
          <w:tblBorders>
            <w:top w:val="single" w:color="00B0F0" w:sz="12" w:space="0"/>
            <w:left w:val="single" w:color="00B0F0" w:sz="12" w:space="0"/>
            <w:bottom w:val="single" w:color="00B0F0" w:sz="12" w:space="0"/>
            <w:right w:val="single" w:color="00B0F0" w:sz="12" w:space="0"/>
            <w:insideH w:val="single" w:color="00B0F0" w:sz="12" w:space="0"/>
            <w:insideV w:val="single" w:color="00B0F0" w:sz="12" w:space="0"/>
          </w:tblBorders>
          <w:tblCellMar>
            <w:top w:w="0" w:type="dxa"/>
            <w:left w:w="108" w:type="dxa"/>
            <w:bottom w:w="0" w:type="dxa"/>
            <w:right w:w="108" w:type="dxa"/>
          </w:tblCellMar>
        </w:tblPrEx>
        <w:trPr>
          <w:cantSplit/>
          <w:trHeight w:val="319" w:hRule="atLeast"/>
        </w:trPr>
        <w:tc>
          <w:tcPr>
            <w:tcW w:w="2585" w:type="dxa"/>
            <w:vMerge w:val="continue"/>
            <w:shd w:val="clear" w:color="auto" w:fill="auto"/>
          </w:tcPr>
          <w:p>
            <w:pPr>
              <w:ind w:firstLine="480" w:firstLineChars="200"/>
              <w:rPr>
                <w:rFonts w:ascii="黑体" w:hAnsi="黑体" w:eastAsia="黑体"/>
                <w:color w:val="002060"/>
              </w:rPr>
            </w:pPr>
          </w:p>
        </w:tc>
        <w:tc>
          <w:tcPr>
            <w:tcW w:w="1312" w:type="dxa"/>
            <w:shd w:val="clear" w:color="auto" w:fill="002060"/>
          </w:tcPr>
          <w:p>
            <w:pPr>
              <w:rPr>
                <w:rFonts w:ascii="黑体" w:hAnsi="黑体" w:eastAsia="黑体"/>
                <w:color w:val="FFFFFF"/>
              </w:rPr>
            </w:pPr>
            <w:r>
              <w:rPr>
                <w:rFonts w:hint="eastAsia" w:ascii="黑体" w:hAnsi="黑体" w:eastAsia="黑体"/>
                <w:color w:val="FFFFFF"/>
              </w:rPr>
              <w:t>当前版本：</w:t>
            </w:r>
          </w:p>
        </w:tc>
        <w:tc>
          <w:tcPr>
            <w:tcW w:w="4512" w:type="dxa"/>
          </w:tcPr>
          <w:p>
            <w:pPr>
              <w:rPr>
                <w:rFonts w:ascii="黑体" w:hAnsi="黑体" w:eastAsia="黑体"/>
                <w:color w:val="002060"/>
              </w:rPr>
            </w:pPr>
            <w:r>
              <w:rPr>
                <w:rFonts w:ascii="黑体" w:hAnsi="黑体" w:eastAsia="黑体"/>
                <w:color w:val="002060"/>
              </w:rPr>
              <w:t>V</w:t>
            </w:r>
            <w:r>
              <w:rPr>
                <w:rFonts w:hint="eastAsia" w:ascii="黑体" w:hAnsi="黑体" w:eastAsia="黑体"/>
                <w:color w:val="002060"/>
              </w:rPr>
              <w:t>1</w:t>
            </w:r>
            <w:r>
              <w:rPr>
                <w:rFonts w:ascii="黑体" w:hAnsi="黑体" w:eastAsia="黑体"/>
                <w:color w:val="002060"/>
              </w:rPr>
              <w:t>.</w:t>
            </w:r>
            <w:r>
              <w:rPr>
                <w:rFonts w:hint="eastAsia" w:ascii="黑体" w:hAnsi="黑体" w:eastAsia="黑体"/>
                <w:color w:val="002060"/>
                <w:lang w:val="en-US" w:eastAsia="zh-CN"/>
              </w:rPr>
              <w:t>1.</w:t>
            </w:r>
            <w:r>
              <w:rPr>
                <w:rFonts w:hint="eastAsia" w:ascii="黑体" w:hAnsi="黑体" w:eastAsia="黑体"/>
                <w:color w:val="002060"/>
              </w:rPr>
              <w:t>0</w:t>
            </w:r>
          </w:p>
        </w:tc>
      </w:tr>
      <w:tr>
        <w:tblPrEx>
          <w:tblBorders>
            <w:top w:val="single" w:color="00B0F0" w:sz="12" w:space="0"/>
            <w:left w:val="single" w:color="00B0F0" w:sz="12" w:space="0"/>
            <w:bottom w:val="single" w:color="00B0F0" w:sz="12" w:space="0"/>
            <w:right w:val="single" w:color="00B0F0" w:sz="12" w:space="0"/>
            <w:insideH w:val="single" w:color="00B0F0" w:sz="12" w:space="0"/>
            <w:insideV w:val="single" w:color="00B0F0" w:sz="12" w:space="0"/>
          </w:tblBorders>
          <w:tblCellMar>
            <w:top w:w="0" w:type="dxa"/>
            <w:left w:w="108" w:type="dxa"/>
            <w:bottom w:w="0" w:type="dxa"/>
            <w:right w:w="108" w:type="dxa"/>
          </w:tblCellMar>
        </w:tblPrEx>
        <w:trPr>
          <w:cantSplit/>
        </w:trPr>
        <w:tc>
          <w:tcPr>
            <w:tcW w:w="2585" w:type="dxa"/>
            <w:vMerge w:val="continue"/>
            <w:shd w:val="clear" w:color="auto" w:fill="auto"/>
          </w:tcPr>
          <w:p>
            <w:pPr>
              <w:ind w:firstLine="480" w:firstLineChars="200"/>
              <w:rPr>
                <w:rFonts w:ascii="黑体" w:hAnsi="黑体" w:eastAsia="黑体"/>
                <w:color w:val="002060"/>
              </w:rPr>
            </w:pPr>
          </w:p>
        </w:tc>
        <w:tc>
          <w:tcPr>
            <w:tcW w:w="1312" w:type="dxa"/>
            <w:shd w:val="clear" w:color="auto" w:fill="002060"/>
          </w:tcPr>
          <w:p>
            <w:pPr>
              <w:rPr>
                <w:rFonts w:ascii="黑体" w:hAnsi="黑体" w:eastAsia="黑体"/>
                <w:color w:val="FFFFFF"/>
              </w:rPr>
            </w:pPr>
            <w:r>
              <w:rPr>
                <w:rFonts w:hint="eastAsia" w:ascii="黑体" w:hAnsi="黑体" w:eastAsia="黑体"/>
                <w:color w:val="FFFFFF"/>
              </w:rPr>
              <w:t>作    者：</w:t>
            </w:r>
          </w:p>
        </w:tc>
        <w:tc>
          <w:tcPr>
            <w:tcW w:w="4512" w:type="dxa"/>
          </w:tcPr>
          <w:p>
            <w:pPr>
              <w:rPr>
                <w:rFonts w:ascii="黑体" w:hAnsi="黑体" w:eastAsia="黑体"/>
                <w:color w:val="002060"/>
              </w:rPr>
            </w:pPr>
            <w:r>
              <w:rPr>
                <w:rFonts w:hint="eastAsia" w:ascii="黑体" w:hAnsi="黑体" w:eastAsia="黑体"/>
                <w:color w:val="002060"/>
              </w:rPr>
              <w:t>夏广福</w:t>
            </w:r>
          </w:p>
        </w:tc>
      </w:tr>
      <w:tr>
        <w:tblPrEx>
          <w:tblBorders>
            <w:top w:val="single" w:color="00B0F0" w:sz="12" w:space="0"/>
            <w:left w:val="single" w:color="00B0F0" w:sz="12" w:space="0"/>
            <w:bottom w:val="single" w:color="00B0F0" w:sz="12" w:space="0"/>
            <w:right w:val="single" w:color="00B0F0" w:sz="12" w:space="0"/>
            <w:insideH w:val="single" w:color="00B0F0" w:sz="12" w:space="0"/>
            <w:insideV w:val="single" w:color="00B0F0" w:sz="12" w:space="0"/>
          </w:tblBorders>
          <w:tblCellMar>
            <w:top w:w="0" w:type="dxa"/>
            <w:left w:w="108" w:type="dxa"/>
            <w:bottom w:w="0" w:type="dxa"/>
            <w:right w:w="108" w:type="dxa"/>
          </w:tblCellMar>
        </w:tblPrEx>
        <w:trPr>
          <w:cantSplit/>
        </w:trPr>
        <w:tc>
          <w:tcPr>
            <w:tcW w:w="2585" w:type="dxa"/>
            <w:vMerge w:val="continue"/>
            <w:shd w:val="clear" w:color="auto" w:fill="auto"/>
          </w:tcPr>
          <w:p>
            <w:pPr>
              <w:ind w:firstLine="480" w:firstLineChars="200"/>
              <w:rPr>
                <w:rFonts w:ascii="黑体" w:hAnsi="黑体" w:eastAsia="黑体"/>
                <w:color w:val="002060"/>
              </w:rPr>
            </w:pPr>
          </w:p>
        </w:tc>
        <w:tc>
          <w:tcPr>
            <w:tcW w:w="1312" w:type="dxa"/>
            <w:shd w:val="clear" w:color="auto" w:fill="002060"/>
          </w:tcPr>
          <w:p>
            <w:pPr>
              <w:rPr>
                <w:rFonts w:ascii="黑体" w:hAnsi="黑体" w:eastAsia="黑体"/>
                <w:color w:val="FFFFFF"/>
              </w:rPr>
            </w:pPr>
            <w:r>
              <w:rPr>
                <w:rFonts w:hint="eastAsia" w:ascii="黑体" w:hAnsi="黑体" w:eastAsia="黑体"/>
                <w:color w:val="FFFFFF"/>
              </w:rPr>
              <w:t>完成日期：</w:t>
            </w:r>
          </w:p>
        </w:tc>
        <w:tc>
          <w:tcPr>
            <w:tcW w:w="4512" w:type="dxa"/>
          </w:tcPr>
          <w:p>
            <w:pPr>
              <w:rPr>
                <w:rFonts w:ascii="黑体" w:hAnsi="黑体" w:eastAsia="黑体"/>
                <w:color w:val="002060"/>
              </w:rPr>
            </w:pPr>
            <w:r>
              <w:rPr>
                <w:rFonts w:hint="eastAsia" w:ascii="黑体" w:hAnsi="黑体" w:eastAsia="黑体"/>
                <w:color w:val="002060"/>
              </w:rPr>
              <w:t>20</w:t>
            </w:r>
            <w:r>
              <w:rPr>
                <w:rFonts w:ascii="黑体" w:hAnsi="黑体" w:eastAsia="黑体"/>
                <w:color w:val="002060"/>
              </w:rPr>
              <w:t>2</w:t>
            </w:r>
            <w:r>
              <w:rPr>
                <w:rFonts w:hint="eastAsia" w:ascii="黑体" w:hAnsi="黑体" w:eastAsia="黑体"/>
                <w:color w:val="002060"/>
              </w:rPr>
              <w:t>3-8</w:t>
            </w:r>
          </w:p>
        </w:tc>
      </w:tr>
    </w:tbl>
    <w:p>
      <w:pPr>
        <w:widowControl/>
        <w:jc w:val="left"/>
        <w:rPr>
          <w:rFonts w:ascii="黑体" w:hAnsi="黑体" w:eastAsia="黑体"/>
          <w:color w:val="002060"/>
        </w:rPr>
      </w:pPr>
    </w:p>
    <w:p>
      <w:pPr>
        <w:widowControl/>
        <w:jc w:val="left"/>
        <w:rPr>
          <w:rFonts w:ascii="黑体" w:hAnsi="黑体" w:eastAsia="黑体"/>
          <w:color w:val="002060"/>
        </w:rPr>
      </w:pPr>
    </w:p>
    <w:p>
      <w:pPr>
        <w:widowControl/>
        <w:jc w:val="left"/>
        <w:rPr>
          <w:rFonts w:ascii="黑体" w:hAnsi="黑体" w:eastAsia="黑体"/>
          <w:b/>
          <w:color w:val="002060"/>
          <w:sz w:val="28"/>
          <w:szCs w:val="28"/>
        </w:rPr>
      </w:pPr>
      <w:r>
        <w:rPr>
          <w:rFonts w:hint="eastAsia" w:ascii="黑体" w:hAnsi="黑体" w:eastAsia="黑体"/>
          <w:b/>
          <w:color w:val="002060"/>
          <w:sz w:val="28"/>
          <w:szCs w:val="28"/>
        </w:rPr>
        <w:t>文档修改记录：</w:t>
      </w:r>
    </w:p>
    <w:tbl>
      <w:tblPr>
        <w:tblStyle w:val="9"/>
        <w:tblW w:w="5035" w:type="pct"/>
        <w:tblInd w:w="0" w:type="dxa"/>
        <w:tblBorders>
          <w:top w:val="single" w:color="0070C0" w:sz="12" w:space="0"/>
          <w:left w:val="single" w:color="0070C0" w:sz="12" w:space="0"/>
          <w:bottom w:val="single" w:color="0070C0" w:sz="12" w:space="0"/>
          <w:right w:val="single" w:color="0070C0" w:sz="12" w:space="0"/>
          <w:insideH w:val="single" w:color="0070C0" w:sz="12" w:space="0"/>
          <w:insideV w:val="single" w:color="0070C0" w:sz="12" w:space="0"/>
        </w:tblBorders>
        <w:tblLayout w:type="autofit"/>
        <w:tblCellMar>
          <w:top w:w="0" w:type="dxa"/>
          <w:left w:w="108" w:type="dxa"/>
          <w:bottom w:w="0" w:type="dxa"/>
          <w:right w:w="108" w:type="dxa"/>
        </w:tblCellMar>
      </w:tblPr>
      <w:tblGrid>
        <w:gridCol w:w="2146"/>
        <w:gridCol w:w="1480"/>
        <w:gridCol w:w="2810"/>
        <w:gridCol w:w="2146"/>
      </w:tblGrid>
      <w:tr>
        <w:tblPrEx>
          <w:tblBorders>
            <w:top w:val="single" w:color="0070C0" w:sz="12" w:space="0"/>
            <w:left w:val="single" w:color="0070C0" w:sz="12" w:space="0"/>
            <w:bottom w:val="single" w:color="0070C0" w:sz="12" w:space="0"/>
            <w:right w:val="single" w:color="0070C0" w:sz="12" w:space="0"/>
            <w:insideH w:val="single" w:color="0070C0" w:sz="12" w:space="0"/>
            <w:insideV w:val="single" w:color="0070C0" w:sz="12" w:space="0"/>
          </w:tblBorders>
          <w:tblCellMar>
            <w:top w:w="0" w:type="dxa"/>
            <w:left w:w="108" w:type="dxa"/>
            <w:bottom w:w="0" w:type="dxa"/>
            <w:right w:w="108" w:type="dxa"/>
          </w:tblCellMar>
        </w:tblPrEx>
        <w:trPr>
          <w:trHeight w:val="648" w:hRule="atLeast"/>
        </w:trPr>
        <w:tc>
          <w:tcPr>
            <w:tcW w:w="1251" w:type="pct"/>
            <w:shd w:val="clear" w:color="auto" w:fill="002060"/>
          </w:tcPr>
          <w:p>
            <w:pPr>
              <w:jc w:val="center"/>
              <w:rPr>
                <w:rFonts w:ascii="黑体" w:hAnsi="黑体" w:eastAsia="黑体"/>
                <w:b/>
                <w:color w:val="FFFFFF"/>
                <w:sz w:val="28"/>
                <w:szCs w:val="28"/>
              </w:rPr>
            </w:pPr>
            <w:r>
              <w:rPr>
                <w:rFonts w:hint="eastAsia" w:ascii="黑体" w:hAnsi="黑体" w:eastAsia="黑体"/>
                <w:b/>
                <w:color w:val="FFFFFF"/>
                <w:sz w:val="28"/>
                <w:szCs w:val="28"/>
              </w:rPr>
              <w:t>日期</w:t>
            </w:r>
          </w:p>
        </w:tc>
        <w:tc>
          <w:tcPr>
            <w:tcW w:w="862" w:type="pct"/>
            <w:shd w:val="clear" w:color="auto" w:fill="002060"/>
          </w:tcPr>
          <w:p>
            <w:pPr>
              <w:jc w:val="center"/>
              <w:rPr>
                <w:rFonts w:ascii="黑体" w:hAnsi="黑体" w:eastAsia="黑体"/>
                <w:b/>
                <w:color w:val="FFFFFF"/>
                <w:sz w:val="28"/>
                <w:szCs w:val="28"/>
              </w:rPr>
            </w:pPr>
            <w:r>
              <w:rPr>
                <w:rFonts w:hint="eastAsia" w:ascii="黑体" w:hAnsi="黑体" w:eastAsia="黑体"/>
                <w:b/>
                <w:color w:val="FFFFFF"/>
                <w:sz w:val="28"/>
                <w:szCs w:val="28"/>
              </w:rPr>
              <w:t>修订版本</w:t>
            </w:r>
          </w:p>
        </w:tc>
        <w:tc>
          <w:tcPr>
            <w:tcW w:w="1637" w:type="pct"/>
            <w:shd w:val="clear" w:color="auto" w:fill="002060"/>
          </w:tcPr>
          <w:p>
            <w:pPr>
              <w:jc w:val="center"/>
              <w:rPr>
                <w:rFonts w:ascii="黑体" w:hAnsi="黑体" w:eastAsia="黑体"/>
                <w:b/>
                <w:color w:val="FFFFFF"/>
                <w:sz w:val="28"/>
                <w:szCs w:val="28"/>
              </w:rPr>
            </w:pPr>
            <w:r>
              <w:rPr>
                <w:rFonts w:hint="eastAsia" w:ascii="黑体" w:hAnsi="黑体" w:eastAsia="黑体"/>
                <w:b/>
                <w:color w:val="FFFFFF"/>
                <w:sz w:val="28"/>
                <w:szCs w:val="28"/>
              </w:rPr>
              <w:t>修改人</w:t>
            </w:r>
          </w:p>
        </w:tc>
        <w:tc>
          <w:tcPr>
            <w:tcW w:w="1250" w:type="pct"/>
            <w:shd w:val="clear" w:color="auto" w:fill="002060"/>
          </w:tcPr>
          <w:p>
            <w:pPr>
              <w:jc w:val="center"/>
              <w:rPr>
                <w:rFonts w:ascii="黑体" w:hAnsi="黑体" w:eastAsia="黑体"/>
                <w:b/>
                <w:color w:val="FFFFFF"/>
                <w:sz w:val="28"/>
                <w:szCs w:val="28"/>
              </w:rPr>
            </w:pPr>
            <w:r>
              <w:rPr>
                <w:rFonts w:hint="eastAsia" w:ascii="黑体" w:hAnsi="黑体" w:eastAsia="黑体"/>
                <w:b/>
                <w:color w:val="FFFFFF"/>
                <w:sz w:val="28"/>
                <w:szCs w:val="28"/>
              </w:rPr>
              <w:t>核定人</w:t>
            </w:r>
          </w:p>
        </w:tc>
      </w:tr>
      <w:tr>
        <w:tblPrEx>
          <w:tblBorders>
            <w:top w:val="single" w:color="0070C0" w:sz="12" w:space="0"/>
            <w:left w:val="single" w:color="0070C0" w:sz="12" w:space="0"/>
            <w:bottom w:val="single" w:color="0070C0" w:sz="12" w:space="0"/>
            <w:right w:val="single" w:color="0070C0" w:sz="12" w:space="0"/>
            <w:insideH w:val="single" w:color="0070C0" w:sz="12" w:space="0"/>
            <w:insideV w:val="single" w:color="0070C0" w:sz="12" w:space="0"/>
          </w:tblBorders>
          <w:tblCellMar>
            <w:top w:w="0" w:type="dxa"/>
            <w:left w:w="108" w:type="dxa"/>
            <w:bottom w:w="0" w:type="dxa"/>
            <w:right w:w="108" w:type="dxa"/>
          </w:tblCellMar>
        </w:tblPrEx>
        <w:trPr>
          <w:trHeight w:val="343" w:hRule="atLeast"/>
        </w:trPr>
        <w:tc>
          <w:tcPr>
            <w:tcW w:w="1251" w:type="pct"/>
          </w:tcPr>
          <w:p>
            <w:pPr>
              <w:jc w:val="center"/>
              <w:rPr>
                <w:rFonts w:ascii="黑体" w:hAnsi="黑体" w:eastAsia="黑体"/>
                <w:color w:val="002060"/>
                <w:sz w:val="20"/>
                <w:szCs w:val="20"/>
              </w:rPr>
            </w:pPr>
            <w:r>
              <w:rPr>
                <w:rFonts w:hint="eastAsia" w:ascii="黑体" w:hAnsi="黑体" w:eastAsia="黑体"/>
                <w:color w:val="002060"/>
                <w:sz w:val="20"/>
                <w:szCs w:val="20"/>
              </w:rPr>
              <w:t>2</w:t>
            </w:r>
            <w:r>
              <w:rPr>
                <w:rFonts w:ascii="黑体" w:hAnsi="黑体" w:eastAsia="黑体"/>
                <w:color w:val="002060"/>
                <w:sz w:val="20"/>
                <w:szCs w:val="20"/>
              </w:rPr>
              <w:t>02</w:t>
            </w:r>
            <w:r>
              <w:rPr>
                <w:rFonts w:hint="eastAsia" w:ascii="黑体" w:hAnsi="黑体" w:eastAsia="黑体"/>
                <w:color w:val="002060"/>
                <w:sz w:val="20"/>
                <w:szCs w:val="20"/>
              </w:rPr>
              <w:t>3-8-16</w:t>
            </w:r>
          </w:p>
        </w:tc>
        <w:tc>
          <w:tcPr>
            <w:tcW w:w="862" w:type="pct"/>
          </w:tcPr>
          <w:p>
            <w:pPr>
              <w:jc w:val="center"/>
              <w:rPr>
                <w:rFonts w:ascii="黑体" w:hAnsi="黑体" w:eastAsia="黑体"/>
                <w:color w:val="002060"/>
                <w:sz w:val="20"/>
                <w:szCs w:val="20"/>
              </w:rPr>
            </w:pPr>
            <w:r>
              <w:rPr>
                <w:rFonts w:ascii="黑体" w:hAnsi="黑体" w:eastAsia="黑体"/>
                <w:color w:val="002060"/>
                <w:sz w:val="20"/>
                <w:szCs w:val="20"/>
              </w:rPr>
              <w:t>V</w:t>
            </w:r>
            <w:r>
              <w:rPr>
                <w:rFonts w:hint="eastAsia" w:ascii="黑体" w:hAnsi="黑体" w:eastAsia="黑体"/>
                <w:color w:val="002060"/>
                <w:sz w:val="20"/>
                <w:szCs w:val="20"/>
              </w:rPr>
              <w:t>1.</w:t>
            </w:r>
            <w:r>
              <w:rPr>
                <w:rFonts w:hint="eastAsia" w:ascii="黑体" w:hAnsi="黑体" w:eastAsia="黑体"/>
                <w:color w:val="002060"/>
                <w:sz w:val="20"/>
                <w:szCs w:val="20"/>
                <w:lang w:val="en-US" w:eastAsia="zh-CN"/>
              </w:rPr>
              <w:t>1.</w:t>
            </w:r>
            <w:bookmarkStart w:id="0" w:name="_GoBack"/>
            <w:bookmarkEnd w:id="0"/>
            <w:r>
              <w:rPr>
                <w:rFonts w:hint="eastAsia" w:ascii="黑体" w:hAnsi="黑体" w:eastAsia="黑体"/>
                <w:color w:val="002060"/>
                <w:sz w:val="20"/>
                <w:szCs w:val="20"/>
              </w:rPr>
              <w:t>0</w:t>
            </w:r>
          </w:p>
        </w:tc>
        <w:tc>
          <w:tcPr>
            <w:tcW w:w="1637" w:type="pct"/>
          </w:tcPr>
          <w:p>
            <w:pPr>
              <w:jc w:val="center"/>
              <w:rPr>
                <w:rFonts w:ascii="黑体" w:hAnsi="黑体" w:eastAsia="黑体"/>
                <w:color w:val="002060"/>
                <w:sz w:val="20"/>
                <w:szCs w:val="20"/>
              </w:rPr>
            </w:pPr>
            <w:r>
              <w:rPr>
                <w:rFonts w:hint="eastAsia" w:ascii="黑体" w:hAnsi="黑体" w:eastAsia="黑体"/>
                <w:color w:val="002060"/>
                <w:sz w:val="20"/>
                <w:szCs w:val="20"/>
              </w:rPr>
              <w:t>夏广福</w:t>
            </w:r>
          </w:p>
        </w:tc>
        <w:tc>
          <w:tcPr>
            <w:tcW w:w="1250" w:type="pct"/>
          </w:tcPr>
          <w:p>
            <w:pPr>
              <w:jc w:val="center"/>
              <w:rPr>
                <w:rFonts w:ascii="黑体" w:hAnsi="黑体" w:eastAsia="黑体"/>
                <w:color w:val="002060"/>
                <w:sz w:val="20"/>
                <w:szCs w:val="20"/>
              </w:rPr>
            </w:pPr>
            <w:r>
              <w:rPr>
                <w:rFonts w:hint="eastAsia" w:ascii="黑体" w:hAnsi="黑体" w:eastAsia="黑体"/>
                <w:color w:val="002060"/>
                <w:sz w:val="20"/>
                <w:szCs w:val="20"/>
              </w:rPr>
              <w:t>朱忠亮</w:t>
            </w:r>
          </w:p>
        </w:tc>
      </w:tr>
      <w:tr>
        <w:tblPrEx>
          <w:tblBorders>
            <w:top w:val="single" w:color="0070C0" w:sz="12" w:space="0"/>
            <w:left w:val="single" w:color="0070C0" w:sz="12" w:space="0"/>
            <w:bottom w:val="single" w:color="0070C0" w:sz="12" w:space="0"/>
            <w:right w:val="single" w:color="0070C0" w:sz="12" w:space="0"/>
            <w:insideH w:val="single" w:color="0070C0" w:sz="12" w:space="0"/>
            <w:insideV w:val="single" w:color="0070C0" w:sz="12" w:space="0"/>
          </w:tblBorders>
          <w:tblCellMar>
            <w:top w:w="0" w:type="dxa"/>
            <w:left w:w="108" w:type="dxa"/>
            <w:bottom w:w="0" w:type="dxa"/>
            <w:right w:w="108" w:type="dxa"/>
          </w:tblCellMar>
        </w:tblPrEx>
        <w:trPr>
          <w:trHeight w:val="648" w:hRule="atLeast"/>
        </w:trPr>
        <w:tc>
          <w:tcPr>
            <w:tcW w:w="1251" w:type="pct"/>
          </w:tcPr>
          <w:p>
            <w:pPr>
              <w:jc w:val="center"/>
              <w:rPr>
                <w:rFonts w:ascii="黑体" w:hAnsi="黑体" w:eastAsia="黑体"/>
                <w:color w:val="002060"/>
                <w:sz w:val="20"/>
                <w:szCs w:val="20"/>
              </w:rPr>
            </w:pPr>
          </w:p>
        </w:tc>
        <w:tc>
          <w:tcPr>
            <w:tcW w:w="862" w:type="pct"/>
          </w:tcPr>
          <w:p>
            <w:pPr>
              <w:jc w:val="center"/>
              <w:rPr>
                <w:rFonts w:ascii="黑体" w:hAnsi="黑体" w:eastAsia="黑体"/>
                <w:color w:val="002060"/>
                <w:sz w:val="20"/>
                <w:szCs w:val="20"/>
              </w:rPr>
            </w:pPr>
          </w:p>
        </w:tc>
        <w:tc>
          <w:tcPr>
            <w:tcW w:w="1637" w:type="pct"/>
          </w:tcPr>
          <w:p>
            <w:pPr>
              <w:jc w:val="center"/>
              <w:rPr>
                <w:rFonts w:ascii="黑体" w:hAnsi="黑体" w:eastAsia="黑体"/>
                <w:color w:val="002060"/>
                <w:sz w:val="20"/>
                <w:szCs w:val="20"/>
              </w:rPr>
            </w:pPr>
          </w:p>
        </w:tc>
        <w:tc>
          <w:tcPr>
            <w:tcW w:w="1250" w:type="pct"/>
          </w:tcPr>
          <w:p>
            <w:pPr>
              <w:jc w:val="center"/>
              <w:rPr>
                <w:rFonts w:ascii="黑体" w:hAnsi="黑体" w:eastAsia="黑体"/>
                <w:color w:val="002060"/>
                <w:sz w:val="20"/>
                <w:szCs w:val="20"/>
              </w:rPr>
            </w:pPr>
          </w:p>
        </w:tc>
      </w:tr>
      <w:tr>
        <w:tblPrEx>
          <w:tblBorders>
            <w:top w:val="single" w:color="0070C0" w:sz="12" w:space="0"/>
            <w:left w:val="single" w:color="0070C0" w:sz="12" w:space="0"/>
            <w:bottom w:val="single" w:color="0070C0" w:sz="12" w:space="0"/>
            <w:right w:val="single" w:color="0070C0" w:sz="12" w:space="0"/>
            <w:insideH w:val="single" w:color="0070C0" w:sz="12" w:space="0"/>
            <w:insideV w:val="single" w:color="0070C0" w:sz="12" w:space="0"/>
          </w:tblBorders>
          <w:tblCellMar>
            <w:top w:w="0" w:type="dxa"/>
            <w:left w:w="108" w:type="dxa"/>
            <w:bottom w:w="0" w:type="dxa"/>
            <w:right w:w="108" w:type="dxa"/>
          </w:tblCellMar>
        </w:tblPrEx>
        <w:trPr>
          <w:trHeight w:val="681" w:hRule="atLeast"/>
        </w:trPr>
        <w:tc>
          <w:tcPr>
            <w:tcW w:w="1251" w:type="pct"/>
          </w:tcPr>
          <w:p>
            <w:pPr>
              <w:jc w:val="center"/>
              <w:rPr>
                <w:rFonts w:ascii="黑体" w:hAnsi="黑体" w:eastAsia="黑体"/>
                <w:color w:val="002060"/>
                <w:sz w:val="20"/>
                <w:szCs w:val="20"/>
              </w:rPr>
            </w:pPr>
          </w:p>
        </w:tc>
        <w:tc>
          <w:tcPr>
            <w:tcW w:w="862" w:type="pct"/>
          </w:tcPr>
          <w:p>
            <w:pPr>
              <w:jc w:val="center"/>
              <w:rPr>
                <w:rFonts w:ascii="黑体" w:hAnsi="黑体" w:eastAsia="黑体"/>
                <w:color w:val="002060"/>
                <w:sz w:val="20"/>
                <w:szCs w:val="20"/>
              </w:rPr>
            </w:pPr>
          </w:p>
        </w:tc>
        <w:tc>
          <w:tcPr>
            <w:tcW w:w="1637" w:type="pct"/>
          </w:tcPr>
          <w:p>
            <w:pPr>
              <w:jc w:val="center"/>
              <w:rPr>
                <w:rFonts w:ascii="黑体" w:hAnsi="黑体" w:eastAsia="黑体"/>
                <w:color w:val="002060"/>
                <w:sz w:val="20"/>
                <w:szCs w:val="20"/>
              </w:rPr>
            </w:pPr>
          </w:p>
        </w:tc>
        <w:tc>
          <w:tcPr>
            <w:tcW w:w="1250" w:type="pct"/>
          </w:tcPr>
          <w:p>
            <w:pPr>
              <w:jc w:val="center"/>
              <w:rPr>
                <w:rFonts w:ascii="黑体" w:hAnsi="黑体" w:eastAsia="黑体"/>
                <w:color w:val="002060"/>
                <w:sz w:val="20"/>
                <w:szCs w:val="20"/>
              </w:rPr>
            </w:pPr>
          </w:p>
        </w:tc>
      </w:tr>
    </w:tbl>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Fonts w:ascii="黑体" w:hAnsi="黑体" w:eastAsia="黑体"/>
          <w:color w:val="002060"/>
        </w:rPr>
      </w:pPr>
    </w:p>
    <w:p>
      <w:pPr>
        <w:rPr>
          <w:rStyle w:val="12"/>
        </w:rPr>
      </w:pPr>
      <w:r>
        <w:rPr>
          <w:rStyle w:val="12"/>
        </w:rPr>
        <w:br w:type="page"/>
      </w:r>
    </w:p>
    <w:p>
      <w:pPr>
        <w:pStyle w:val="2"/>
      </w:pPr>
      <w:r>
        <w:rPr>
          <w:rFonts w:hint="eastAsia"/>
        </w:rPr>
        <w:t>一、</w:t>
      </w:r>
      <w:r>
        <w:t>背景与现状</w:t>
      </w:r>
    </w:p>
    <w:p>
      <w:pPr>
        <w:ind w:firstLine="480" w:firstLineChars="200"/>
        <w:rPr>
          <w:rFonts w:ascii="宋体" w:hAnsi="宋体" w:eastAsia="宋体"/>
          <w:szCs w:val="28"/>
        </w:rPr>
      </w:pPr>
      <w:r>
        <w:rPr>
          <w:rFonts w:hint="eastAsia" w:ascii="宋体" w:hAnsi="宋体" w:eastAsia="宋体"/>
          <w:szCs w:val="28"/>
        </w:rPr>
        <w:t>过去，基本上所有的农事决策，例如种植什么作物、作物的密度、何时播种、灌溉、施肥和打药以及犁多少次地等，都由农民基于个人经验做出判断。即使政府给出指导意见，但农户仍难以基于每块农田的情况制定针对性的方案。这种过于依赖人工经验、缺乏数据支撑的方式，除了造成能源浪费和过度施肥外，还可能导致土地利用效率低下、农产品产量不高、品质不好等情况。</w:t>
      </w:r>
    </w:p>
    <w:p>
      <w:pPr>
        <w:ind w:firstLine="480" w:firstLineChars="200"/>
      </w:pPr>
      <w:r>
        <w:rPr>
          <w:rFonts w:hint="eastAsia" w:ascii="宋体" w:hAnsi="宋体" w:eastAsia="宋体"/>
          <w:szCs w:val="28"/>
        </w:rPr>
        <w:t>生态农场平台能够提供相对全面的数据报告，农民将会在此帮助下做出更明智的决策。相比之前提到的针对单个农业生产环节的技术解决方案，生态农场平台采取的是端到端的方式，整合了物联网传感器、机器人、无人机、人工智能和云计算等各项技术，并融入农作物最优生长机理模型和算法，在作物种植的整个生命周期中指导并服务农户。这种数字化平台构建了一个农业生态系统，能够</w:t>
      </w:r>
      <w:r>
        <w:rPr>
          <w:rFonts w:ascii="宋体" w:hAnsi="宋体" w:eastAsia="宋体"/>
          <w:szCs w:val="28"/>
        </w:rPr>
        <w:t>为农民提供数字化解决方案，做出最优农事</w:t>
      </w:r>
      <w:r>
        <w:rPr>
          <w:rFonts w:hint="eastAsia" w:ascii="宋体" w:hAnsi="宋体" w:eastAsia="宋体"/>
          <w:szCs w:val="28"/>
        </w:rPr>
        <w:t>业决策。通过标准化种植方式解决“如何种”的问题，通过生态供应链体系解决“如何卖”的问题，真正降低种植成本，提升管理效率，大幅提高单位产量和农产品品质，极大赋能农产品供应链能力，保障农民的增产增收以及村镇两级产业化持续升级。</w:t>
      </w:r>
    </w:p>
    <w:p>
      <w:pPr>
        <w:pStyle w:val="2"/>
        <w:rPr>
          <w:b w:val="0"/>
        </w:rPr>
      </w:pPr>
      <w:r>
        <w:rPr>
          <w:rFonts w:hint="eastAsia"/>
        </w:rPr>
        <w:t>二、</w:t>
      </w:r>
      <w:r>
        <w:t>市场需求</w:t>
      </w:r>
      <w:r>
        <w:rPr>
          <w:b w:val="0"/>
        </w:rPr>
        <w:t xml:space="preserve"> </w:t>
      </w:r>
    </w:p>
    <w:p>
      <w:pPr>
        <w:ind w:firstLine="480" w:firstLineChars="200"/>
        <w:rPr>
          <w:rFonts w:ascii="宋体" w:hAnsi="宋体" w:eastAsia="宋体"/>
          <w:szCs w:val="28"/>
        </w:rPr>
      </w:pPr>
      <w:r>
        <w:rPr>
          <w:rFonts w:hint="eastAsia" w:ascii="宋体" w:hAnsi="宋体" w:eastAsia="宋体"/>
          <w:szCs w:val="28"/>
        </w:rPr>
        <w:t>1、经营发展需要：无论是散户种植，还是规模化经营的农场或园区，都存在着渴望技术进步带来投入成本降低、产量和品质提高的迫切需求。</w:t>
      </w:r>
    </w:p>
    <w:p>
      <w:pPr>
        <w:ind w:firstLine="480" w:firstLineChars="200"/>
        <w:rPr>
          <w:rFonts w:ascii="宋体" w:hAnsi="宋体" w:eastAsia="宋体"/>
          <w:szCs w:val="28"/>
        </w:rPr>
      </w:pPr>
      <w:r>
        <w:rPr>
          <w:rFonts w:hint="eastAsia" w:ascii="宋体" w:hAnsi="宋体" w:eastAsia="宋体"/>
          <w:szCs w:val="28"/>
        </w:rPr>
        <w:t>2、政府引导：山东省市场监督管理局等八部门印发《山东省建立健全碳达峰碳中和标准计量体系工作方案》：建立统筹高效生态农业、现代乡村产业等的现代农业标准体系，建设现代农业全产业链标准集成应用基地，推进全国蔬菜质量标准中心、全国畜禽屠宰质量标准创新中心建设。</w:t>
      </w:r>
    </w:p>
    <w:p>
      <w:pPr>
        <w:pStyle w:val="2"/>
      </w:pPr>
      <w:r>
        <w:rPr>
          <w:rFonts w:hint="eastAsia"/>
          <w:b w:val="0"/>
        </w:rPr>
        <w:t>三、</w:t>
      </w:r>
      <w:r>
        <w:rPr>
          <w:b w:val="0"/>
        </w:rPr>
        <w:t>市场规模与预测</w:t>
      </w:r>
      <w:r>
        <w:t xml:space="preserve"> </w:t>
      </w:r>
    </w:p>
    <w:p>
      <w:pPr>
        <w:ind w:firstLine="480" w:firstLineChars="200"/>
        <w:rPr>
          <w:rFonts w:hint="eastAsia"/>
        </w:rPr>
      </w:pPr>
      <w:r>
        <w:rPr>
          <w:rFonts w:ascii="宋体" w:hAnsi="宋体" w:eastAsia="宋体"/>
          <w:szCs w:val="28"/>
        </w:rPr>
        <w:t>随着农业现代化进程的不断推进，智慧农业市场规模将持续扩大。根据行业研究数据，预计到2025年，全球智慧农业市场规模将达到268亿美元，年复合增长率约为15%。</w:t>
      </w:r>
      <w:r>
        <w:rPr>
          <w:rFonts w:hint="eastAsia" w:ascii="宋体" w:hAnsi="宋体" w:eastAsia="宋体"/>
          <w:szCs w:val="28"/>
        </w:rPr>
        <w:t>生态农场数字化平台构建了一个农业生态系统，能够</w:t>
      </w:r>
      <w:r>
        <w:rPr>
          <w:rFonts w:ascii="宋体" w:hAnsi="宋体" w:eastAsia="宋体"/>
          <w:szCs w:val="28"/>
        </w:rPr>
        <w:t>为农民提供数字化解决方案，</w:t>
      </w:r>
      <w:r>
        <w:rPr>
          <w:rFonts w:hint="eastAsia" w:ascii="宋体" w:hAnsi="宋体" w:eastAsia="宋体"/>
          <w:szCs w:val="28"/>
        </w:rPr>
        <w:t>关联解决“如何种”的问题，从而</w:t>
      </w:r>
      <w:r>
        <w:rPr>
          <w:rFonts w:ascii="宋体" w:hAnsi="宋体" w:eastAsia="宋体"/>
          <w:szCs w:val="28"/>
        </w:rPr>
        <w:t>做出最优农事</w:t>
      </w:r>
      <w:r>
        <w:rPr>
          <w:rFonts w:hint="eastAsia" w:ascii="宋体" w:hAnsi="宋体" w:eastAsia="宋体"/>
          <w:szCs w:val="28"/>
        </w:rPr>
        <w:t>业决策。此平台对应的应用场景和解决方案是深度符合智慧农业发展方向的，因此推广前景广阔。</w:t>
      </w:r>
    </w:p>
    <w:p>
      <w:pPr>
        <w:pStyle w:val="2"/>
      </w:pPr>
      <w:r>
        <w:rPr>
          <w:rFonts w:hint="eastAsia"/>
        </w:rPr>
        <w:t>四、</w:t>
      </w:r>
      <w:r>
        <w:t>竞争对手分析</w:t>
      </w:r>
    </w:p>
    <w:p>
      <w:pPr>
        <w:ind w:firstLine="480"/>
        <w:rPr>
          <w:rFonts w:ascii="宋体" w:hAnsi="宋体" w:eastAsia="宋体"/>
          <w:szCs w:val="28"/>
        </w:rPr>
      </w:pPr>
      <w:r>
        <w:rPr>
          <w:rFonts w:hint="eastAsia" w:ascii="宋体" w:hAnsi="宋体" w:eastAsia="宋体"/>
          <w:szCs w:val="28"/>
        </w:rPr>
        <w:t>目前市面上大多数智慧农业平台整合了物联网传感器、机器人、无人机等硬件设备，实现了农作物生长环境数据的采集、监测以及硬件设备的自动控制，但是利用人工智能和云计算等各项技术，并融入农作物最优生长机理模型和算法，在作物种植的整个生命周期中指导并服务农户的目前比较少。</w:t>
      </w:r>
    </w:p>
    <w:p>
      <w:pPr>
        <w:ind w:firstLine="480"/>
        <w:rPr>
          <w:rFonts w:ascii="宋体" w:hAnsi="宋体" w:eastAsia="宋体"/>
          <w:szCs w:val="28"/>
        </w:rPr>
      </w:pPr>
      <w:r>
        <w:rPr>
          <w:rFonts w:hint="eastAsia" w:ascii="宋体" w:hAnsi="宋体" w:eastAsia="宋体"/>
          <w:szCs w:val="28"/>
        </w:rPr>
        <w:t>据调研，北京爱科农公司利用遥感技术和植物-土壤-大气连续体数字化模型搭建了针对大田作物的全生育期人工智能种植决策平台——爱耕耘APP，提供水肥方案、病虫害预测与防治方案、产量预估等服务，并通过遥感技术实现对作物的生长监控和灾害诊断。</w:t>
      </w:r>
    </w:p>
    <w:p>
      <w:pPr>
        <w:ind w:firstLine="480"/>
        <w:rPr>
          <w:rFonts w:hint="eastAsia" w:ascii="宋体" w:hAnsi="宋体" w:eastAsia="宋体"/>
          <w:szCs w:val="28"/>
        </w:rPr>
      </w:pPr>
      <w:r>
        <w:rPr>
          <w:rFonts w:hint="eastAsia" w:ascii="宋体" w:hAnsi="宋体" w:eastAsia="宋体"/>
          <w:szCs w:val="28"/>
        </w:rPr>
        <w:t>爱科农主要聚焦大田作物，全产业链环节主要是“技和产”，我们侧重于设施农业，全产业链环节除了“技和产”，还有“销”，差异化明显。</w:t>
      </w:r>
    </w:p>
    <w:p>
      <w:pPr>
        <w:pStyle w:val="2"/>
      </w:pPr>
      <w:r>
        <w:rPr>
          <w:rFonts w:hint="eastAsia"/>
        </w:rPr>
        <w:t>五、</w:t>
      </w:r>
      <w:r>
        <w:t>产品优势与创新点</w:t>
      </w:r>
    </w:p>
    <w:p>
      <w:pPr>
        <w:ind w:firstLine="480"/>
        <w:rPr>
          <w:rFonts w:hint="eastAsia" w:ascii="宋体" w:hAnsi="宋体" w:eastAsia="宋体"/>
          <w:szCs w:val="28"/>
        </w:rPr>
      </w:pPr>
      <w:r>
        <w:rPr>
          <w:rFonts w:hint="eastAsia" w:ascii="宋体" w:hAnsi="宋体" w:eastAsia="宋体"/>
          <w:szCs w:val="28"/>
        </w:rPr>
        <w:t>场景围绕“精准种植+精益管理”打造生态农场，构建“技、产、销”闭环全产业链商业模式即“e-TPS”数字化集成服务体系。</w:t>
      </w:r>
    </w:p>
    <w:p>
      <w:pPr>
        <w:jc w:val="center"/>
        <w:rPr>
          <w:rFonts w:ascii="宋体" w:hAnsi="宋体" w:eastAsia="宋体"/>
          <w:szCs w:val="28"/>
        </w:rPr>
      </w:pPr>
      <w:r>
        <w:rPr>
          <w:rFonts w:hint="eastAsia"/>
        </w:rPr>
        <w:drawing>
          <wp:inline distT="0" distB="0" distL="114300" distR="114300">
            <wp:extent cx="2962910" cy="2754630"/>
            <wp:effectExtent l="0" t="0" r="8890" b="7620"/>
            <wp:docPr id="8" name="图片 8" descr="stn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nc2"/>
                    <pic:cNvPicPr>
                      <a:picLocks noChangeAspect="1"/>
                    </pic:cNvPicPr>
                  </pic:nvPicPr>
                  <pic:blipFill>
                    <a:blip r:embed="rId6"/>
                    <a:stretch>
                      <a:fillRect/>
                    </a:stretch>
                  </pic:blipFill>
                  <pic:spPr>
                    <a:xfrm>
                      <a:off x="0" y="0"/>
                      <a:ext cx="2962910" cy="2754630"/>
                    </a:xfrm>
                    <a:prstGeom prst="rect">
                      <a:avLst/>
                    </a:prstGeom>
                  </pic:spPr>
                </pic:pic>
              </a:graphicData>
            </a:graphic>
          </wp:inline>
        </w:drawing>
      </w:r>
    </w:p>
    <w:p>
      <w:pPr>
        <w:ind w:firstLine="480"/>
        <w:rPr>
          <w:rFonts w:hint="eastAsia" w:ascii="宋体" w:hAnsi="宋体" w:eastAsia="宋体"/>
          <w:szCs w:val="28"/>
        </w:rPr>
      </w:pPr>
      <w:r>
        <w:rPr>
          <w:rFonts w:hint="eastAsia" w:ascii="宋体" w:hAnsi="宋体" w:eastAsia="宋体"/>
          <w:szCs w:val="28"/>
        </w:rPr>
        <w:t>（1）技术：</w:t>
      </w:r>
    </w:p>
    <w:p>
      <w:pPr>
        <w:ind w:firstLine="480"/>
        <w:rPr>
          <w:rFonts w:hint="eastAsia" w:ascii="宋体" w:hAnsi="宋体" w:eastAsia="宋体"/>
          <w:szCs w:val="28"/>
        </w:rPr>
      </w:pPr>
      <w:r>
        <w:rPr>
          <w:rFonts w:hint="eastAsia" w:ascii="宋体" w:hAnsi="宋体" w:eastAsia="宋体"/>
          <w:szCs w:val="28"/>
        </w:rPr>
        <w:t>以2个标准和1个平台为依托，建立生态标准化的生产管理、运营体系，实现工业化管理模式应用到生态农业体系，提高效率、降低成本，为生态农场建设及运营赋能。</w:t>
      </w:r>
    </w:p>
    <w:p>
      <w:pPr>
        <w:ind w:firstLine="480"/>
        <w:rPr>
          <w:rFonts w:hint="eastAsia" w:ascii="宋体" w:hAnsi="宋体" w:eastAsia="宋体"/>
          <w:szCs w:val="28"/>
        </w:rPr>
      </w:pPr>
      <w:r>
        <w:rPr>
          <w:rFonts w:hint="eastAsia" w:ascii="宋体" w:hAnsi="宋体" w:eastAsia="宋体"/>
          <w:szCs w:val="28"/>
        </w:rPr>
        <w:t>2个标准：《T/SDSEC 0002-2022《乡村振兴农业生态种植三种技术规范》》、《T/SDSEC 0003-2022乡村振兴农业数字化体系建设规范》;形成了生态智慧农业从技术到生产的完整体系。</w:t>
      </w:r>
    </w:p>
    <w:p>
      <w:pPr>
        <w:ind w:firstLine="480"/>
        <w:rPr>
          <w:rFonts w:hint="eastAsia" w:ascii="宋体" w:hAnsi="宋体" w:eastAsia="宋体"/>
          <w:szCs w:val="28"/>
        </w:rPr>
      </w:pPr>
      <w:r>
        <w:rPr>
          <w:rFonts w:hint="eastAsia" w:ascii="宋体" w:hAnsi="宋体" w:eastAsia="宋体"/>
          <w:szCs w:val="28"/>
        </w:rPr>
        <w:t>1个平台：即生态农场服务平台，为“精准种植”和“精益管理”提供数字化运营管理一站式服务平台。</w:t>
      </w:r>
    </w:p>
    <w:p>
      <w:pPr>
        <w:ind w:firstLine="480"/>
        <w:rPr>
          <w:rFonts w:hint="eastAsia" w:ascii="宋体" w:hAnsi="宋体" w:eastAsia="宋体"/>
          <w:szCs w:val="28"/>
        </w:rPr>
      </w:pPr>
      <w:r>
        <w:rPr>
          <w:rFonts w:hint="eastAsia" w:ascii="宋体" w:hAnsi="宋体" w:eastAsia="宋体"/>
          <w:szCs w:val="28"/>
        </w:rPr>
        <w:t>（2）生产：</w:t>
      </w:r>
    </w:p>
    <w:p>
      <w:pPr>
        <w:ind w:firstLine="480"/>
        <w:rPr>
          <w:rFonts w:hint="eastAsia" w:ascii="宋体" w:hAnsi="宋体" w:eastAsia="宋体"/>
          <w:szCs w:val="28"/>
        </w:rPr>
      </w:pPr>
      <w:r>
        <w:rPr>
          <w:rFonts w:hint="eastAsia" w:ascii="宋体" w:hAnsi="宋体" w:eastAsia="宋体"/>
          <w:szCs w:val="28"/>
        </w:rPr>
        <w:t>以农业生态体系为基础，集成碳氢技术、抗病毒免疫蛋白技术、以虫克虫技术、次氯酸钾生物杀菌技术以及中药制剂等建立了2000多种生态种植标准化方案，持续促进农业增产提质、降本增效。</w:t>
      </w:r>
    </w:p>
    <w:p>
      <w:pPr>
        <w:ind w:firstLine="480"/>
        <w:rPr>
          <w:rFonts w:hint="eastAsia" w:ascii="宋体" w:hAnsi="宋体" w:eastAsia="宋体"/>
          <w:szCs w:val="28"/>
        </w:rPr>
      </w:pPr>
      <w:r>
        <w:rPr>
          <w:rFonts w:hint="eastAsia" w:ascii="宋体" w:hAnsi="宋体" w:eastAsia="宋体"/>
          <w:szCs w:val="28"/>
        </w:rPr>
        <w:t>（3）供应链：</w:t>
      </w:r>
    </w:p>
    <w:p>
      <w:pPr>
        <w:ind w:firstLine="480"/>
        <w:rPr>
          <w:rFonts w:hint="eastAsia" w:ascii="宋体" w:hAnsi="宋体" w:eastAsia="宋体"/>
          <w:szCs w:val="28"/>
        </w:rPr>
      </w:pPr>
      <w:r>
        <w:rPr>
          <w:rFonts w:hint="eastAsia" w:ascii="宋体" w:hAnsi="宋体" w:eastAsia="宋体"/>
          <w:szCs w:val="28"/>
        </w:rPr>
        <w:t>以立体化的全网供应链生态体系，持续获得农业订单，实现农民增产增收，带动村镇县三级政府GDP增长及适度的财政税收。</w:t>
      </w:r>
    </w:p>
    <w:p>
      <w:pPr>
        <w:pStyle w:val="2"/>
      </w:pPr>
      <w:r>
        <w:rPr>
          <w:rFonts w:hint="eastAsia"/>
        </w:rPr>
        <w:t>六、</w:t>
      </w:r>
      <w:r>
        <w:t xml:space="preserve">营销策略 </w:t>
      </w:r>
    </w:p>
    <w:p>
      <w:pPr>
        <w:ind w:firstLine="480"/>
        <w:rPr>
          <w:rFonts w:ascii="宋体" w:hAnsi="宋体" w:eastAsia="宋体"/>
          <w:szCs w:val="28"/>
        </w:rPr>
      </w:pPr>
      <w:r>
        <w:rPr>
          <w:rFonts w:hint="eastAsia" w:ascii="宋体" w:hAnsi="宋体" w:eastAsia="宋体"/>
          <w:szCs w:val="28"/>
        </w:rPr>
        <w:t>1、生态合作伙伴渠道：如安增益公司，利用标准化种植方案承接乡镇类产业“降本增效”升级项目，可以把生态农场平台作为数字化升级工具融合进大方案中，支付我方建设成本或运营成本；</w:t>
      </w:r>
    </w:p>
    <w:p>
      <w:pPr>
        <w:ind w:firstLine="480"/>
        <w:rPr>
          <w:rFonts w:ascii="宋体" w:hAnsi="宋体" w:eastAsia="宋体"/>
          <w:szCs w:val="28"/>
        </w:rPr>
      </w:pPr>
      <w:r>
        <w:rPr>
          <w:rFonts w:hint="eastAsia" w:ascii="宋体" w:hAnsi="宋体" w:eastAsia="宋体"/>
          <w:szCs w:val="28"/>
        </w:rPr>
        <w:t>2、政府项目：生态农场平台能够赋能“如何种”，适用于普通的物联网项目或者产业园项目。</w:t>
      </w:r>
    </w:p>
    <w:p>
      <w:pPr>
        <w:ind w:firstLine="480"/>
        <w:rPr>
          <w:rFonts w:hint="eastAsia" w:ascii="宋体" w:hAnsi="宋体" w:eastAsia="宋体"/>
          <w:szCs w:val="28"/>
        </w:rPr>
      </w:pPr>
      <w:r>
        <w:rPr>
          <w:rFonts w:hint="eastAsia" w:ascii="宋体" w:hAnsi="宋体" w:eastAsia="宋体"/>
          <w:szCs w:val="28"/>
        </w:rPr>
        <w:t>3、运营收费：“技术+农资”从线下走到了线上，与农资企业进行合作进行售卖分成；从用户需求来说，需求更高的是解决方案和种植技术，后期可以利用“农课堂”启用类似天天学农的知识付费模式。</w:t>
      </w:r>
    </w:p>
    <w:p>
      <w:pPr>
        <w:pStyle w:val="2"/>
      </w:pPr>
      <w:r>
        <w:rPr>
          <w:rFonts w:hint="eastAsia"/>
        </w:rPr>
        <w:t>八、</w:t>
      </w:r>
      <w:r>
        <w:t>结论</w:t>
      </w:r>
      <w:r>
        <w:rPr>
          <w:rFonts w:hint="eastAsia"/>
        </w:rPr>
        <w:t>与总结</w:t>
      </w:r>
    </w:p>
    <w:p>
      <w:pPr>
        <w:ind w:firstLine="480"/>
        <w:rPr>
          <w:rFonts w:ascii="宋体" w:hAnsi="宋体" w:eastAsia="宋体"/>
          <w:szCs w:val="28"/>
        </w:rPr>
      </w:pPr>
      <w:r>
        <w:rPr>
          <w:rFonts w:hint="eastAsia" w:ascii="宋体" w:hAnsi="宋体" w:eastAsia="宋体"/>
          <w:szCs w:val="28"/>
        </w:rPr>
        <w:t>生态农场全产业链APP前端及后台目前均已规划设计完成，同时也已完成佰福康基地的实际考察调研，并已推动完成安增益、佰福康一起参与打造试验基地的意向合作沟通。生态农场全产业链APP作为试验基地的数字化平台抓手工具，同时也是重点实验室后续进行成果转化的基础之一，市场推广前景广阔，因此非常有必要进行研发转化和产品化。</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1MjlhMjllNDQxNGFmMmQxZjA3Nzk3YzNkODA4NDcifQ=="/>
  </w:docVars>
  <w:rsids>
    <w:rsidRoot w:val="4B725E78"/>
    <w:rsid w:val="00032DD9"/>
    <w:rsid w:val="000C068B"/>
    <w:rsid w:val="001116E2"/>
    <w:rsid w:val="00230CB5"/>
    <w:rsid w:val="00366380"/>
    <w:rsid w:val="00393E34"/>
    <w:rsid w:val="0041788B"/>
    <w:rsid w:val="004820E1"/>
    <w:rsid w:val="00583320"/>
    <w:rsid w:val="0077798C"/>
    <w:rsid w:val="007B7B38"/>
    <w:rsid w:val="00821A04"/>
    <w:rsid w:val="0086584A"/>
    <w:rsid w:val="00882247"/>
    <w:rsid w:val="008B3FFE"/>
    <w:rsid w:val="00A17EB8"/>
    <w:rsid w:val="00AC4C07"/>
    <w:rsid w:val="00BE7DEE"/>
    <w:rsid w:val="00C319E2"/>
    <w:rsid w:val="00F57E1A"/>
    <w:rsid w:val="00F608B7"/>
    <w:rsid w:val="0C0C18D2"/>
    <w:rsid w:val="0D1273C7"/>
    <w:rsid w:val="11BB73DB"/>
    <w:rsid w:val="142613C9"/>
    <w:rsid w:val="16822376"/>
    <w:rsid w:val="19665449"/>
    <w:rsid w:val="1AAC3133"/>
    <w:rsid w:val="224036AD"/>
    <w:rsid w:val="2DEE46CA"/>
    <w:rsid w:val="47A80657"/>
    <w:rsid w:val="4B725E78"/>
    <w:rsid w:val="5ABF39F2"/>
    <w:rsid w:val="5C031C73"/>
    <w:rsid w:val="5EBF2818"/>
    <w:rsid w:val="60D46992"/>
    <w:rsid w:val="69316188"/>
    <w:rsid w:val="6B656B5C"/>
    <w:rsid w:val="6DA325EB"/>
    <w:rsid w:val="77A9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仿宋" w:asciiTheme="minorHAnsi" w:hAnsiTheme="minorHAnsi" w:cstheme="minorBidi"/>
      <w:kern w:val="2"/>
      <w:sz w:val="24"/>
      <w:szCs w:val="24"/>
      <w:lang w:val="en-US" w:eastAsia="zh-CN" w:bidi="ar-SA"/>
    </w:rPr>
  </w:style>
  <w:style w:type="paragraph" w:styleId="2">
    <w:name w:val="heading 2"/>
    <w:basedOn w:val="1"/>
    <w:next w:val="1"/>
    <w:link w:val="12"/>
    <w:unhideWhenUsed/>
    <w:qFormat/>
    <w:uiPriority w:val="0"/>
    <w:pPr>
      <w:keepNext/>
      <w:keepLines/>
      <w:spacing w:before="260" w:after="260" w:line="413" w:lineRule="auto"/>
      <w:outlineLvl w:val="1"/>
    </w:pPr>
    <w:rPr>
      <w:rFonts w:ascii="Arial" w:hAnsi="Arial" w:eastAsia="楷体" w:cs="Times New Roman"/>
      <w:b/>
      <w:sz w:val="28"/>
      <w:szCs w:val="21"/>
    </w:rPr>
  </w:style>
  <w:style w:type="paragraph" w:styleId="3">
    <w:name w:val="heading 3"/>
    <w:basedOn w:val="1"/>
    <w:next w:val="1"/>
    <w:link w:val="13"/>
    <w:semiHidden/>
    <w:unhideWhenUsed/>
    <w:qFormat/>
    <w:uiPriority w:val="0"/>
    <w:pPr>
      <w:keepNext/>
      <w:keepLines/>
      <w:spacing w:before="260" w:after="260" w:line="413" w:lineRule="auto"/>
      <w:outlineLvl w:val="2"/>
    </w:pPr>
    <w:rPr>
      <w:rFonts w:ascii="Times New Roman" w:hAnsi="Times New Roman" w:cs="Times New Roman"/>
      <w:b/>
      <w:sz w:val="28"/>
      <w:szCs w:val="21"/>
    </w:rPr>
  </w:style>
  <w:style w:type="paragraph" w:styleId="4">
    <w:name w:val="heading 4"/>
    <w:basedOn w:val="1"/>
    <w:next w:val="5"/>
    <w:semiHidden/>
    <w:unhideWhenUsed/>
    <w:qFormat/>
    <w:uiPriority w:val="0"/>
    <w:pPr>
      <w:keepNext/>
      <w:keepLines/>
      <w:spacing w:before="200"/>
      <w:outlineLvl w:val="3"/>
    </w:pPr>
    <w:rPr>
      <w:rFonts w:asciiTheme="majorHAnsi" w:hAnsiTheme="majorHAnsi" w:cstheme="majorBidi"/>
      <w:b/>
      <w:bCs/>
      <w:color w:val="5B9BD5" w:themeColor="accent1"/>
      <w:sz w:val="30"/>
      <w:lang w:eastAsia="en-US"/>
      <w14:textFill>
        <w14:solidFill>
          <w14:schemeClr w14:val="accent1"/>
        </w14:solidFill>
      </w14:textFill>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Body Text"/>
    <w:basedOn w:val="1"/>
    <w:link w:val="11"/>
    <w:qFormat/>
    <w:uiPriority w:val="0"/>
    <w:pPr>
      <w:spacing w:before="180" w:after="180"/>
    </w:pPr>
    <w:rPr>
      <w:sz w:val="28"/>
      <w:lang w:eastAsia="en-US"/>
    </w:rPr>
  </w:style>
  <w:style w:type="paragraph" w:styleId="6">
    <w:name w:val="footer"/>
    <w:basedOn w:val="1"/>
    <w:link w:val="15"/>
    <w:uiPriority w:val="0"/>
    <w:pPr>
      <w:tabs>
        <w:tab w:val="center" w:pos="4153"/>
        <w:tab w:val="right" w:pos="8306"/>
      </w:tabs>
      <w:snapToGrid w:val="0"/>
      <w:spacing w:line="240" w:lineRule="auto"/>
      <w:jc w:val="left"/>
    </w:pPr>
    <w:rPr>
      <w:sz w:val="18"/>
      <w:szCs w:val="18"/>
    </w:rPr>
  </w:style>
  <w:style w:type="paragraph" w:styleId="7">
    <w:name w:val="header"/>
    <w:basedOn w:val="1"/>
    <w:link w:val="14"/>
    <w:uiPriority w:val="0"/>
    <w:pPr>
      <w:tabs>
        <w:tab w:val="center" w:pos="4153"/>
        <w:tab w:val="right" w:pos="8306"/>
      </w:tabs>
      <w:snapToGrid w:val="0"/>
      <w:spacing w:line="240" w:lineRule="auto"/>
      <w:jc w:val="center"/>
    </w:pPr>
    <w:rPr>
      <w:sz w:val="18"/>
      <w:szCs w:val="18"/>
    </w:rPr>
  </w:style>
  <w:style w:type="paragraph" w:styleId="8">
    <w:name w:val="Normal (Web)"/>
    <w:basedOn w:val="1"/>
    <w:uiPriority w:val="0"/>
    <w:pPr>
      <w:spacing w:beforeAutospacing="1" w:afterAutospacing="1"/>
      <w:jc w:val="left"/>
    </w:pPr>
    <w:rPr>
      <w:rFonts w:cs="Times New Roman"/>
      <w:kern w:val="0"/>
    </w:rPr>
  </w:style>
  <w:style w:type="character" w:customStyle="1" w:styleId="11">
    <w:name w:val="正文文本 字符"/>
    <w:basedOn w:val="10"/>
    <w:link w:val="5"/>
    <w:uiPriority w:val="0"/>
    <w:rPr>
      <w:rFonts w:eastAsia="仿宋" w:asciiTheme="minorHAnsi" w:hAnsiTheme="minorHAnsi"/>
      <w:sz w:val="28"/>
      <w:lang w:eastAsia="en-US"/>
    </w:rPr>
  </w:style>
  <w:style w:type="character" w:customStyle="1" w:styleId="12">
    <w:name w:val="标题 2 字符"/>
    <w:link w:val="2"/>
    <w:uiPriority w:val="0"/>
    <w:rPr>
      <w:rFonts w:ascii="Arial" w:hAnsi="Arial" w:eastAsia="楷体" w:cs="Times New Roman"/>
      <w:b/>
      <w:sz w:val="28"/>
      <w:szCs w:val="21"/>
    </w:rPr>
  </w:style>
  <w:style w:type="character" w:customStyle="1" w:styleId="13">
    <w:name w:val="标题 3 字符"/>
    <w:link w:val="3"/>
    <w:uiPriority w:val="0"/>
    <w:rPr>
      <w:rFonts w:ascii="Times New Roman" w:hAnsi="Times New Roman" w:eastAsia="仿宋" w:cs="Times New Roman"/>
      <w:b/>
      <w:sz w:val="28"/>
      <w:szCs w:val="21"/>
    </w:rPr>
  </w:style>
  <w:style w:type="character" w:customStyle="1" w:styleId="14">
    <w:name w:val="页眉 字符"/>
    <w:basedOn w:val="10"/>
    <w:link w:val="7"/>
    <w:uiPriority w:val="0"/>
    <w:rPr>
      <w:rFonts w:eastAsia="仿宋" w:asciiTheme="minorHAnsi" w:hAnsiTheme="minorHAnsi" w:cstheme="minorBidi"/>
      <w:kern w:val="2"/>
      <w:sz w:val="18"/>
      <w:szCs w:val="18"/>
    </w:rPr>
  </w:style>
  <w:style w:type="character" w:customStyle="1" w:styleId="15">
    <w:name w:val="页脚 字符"/>
    <w:basedOn w:val="10"/>
    <w:link w:val="6"/>
    <w:uiPriority w:val="0"/>
    <w:rPr>
      <w:rFonts w:eastAsia="仿宋" w:asciiTheme="minorHAnsi" w:hAnsiTheme="minorHAnsi" w:cstheme="minorBidi"/>
      <w:kern w:val="2"/>
      <w:sz w:val="18"/>
      <w:szCs w:val="18"/>
    </w:rPr>
  </w:style>
  <w:style w:type="paragraph" w:styleId="1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2060</Words>
  <Characters>2133</Characters>
  <Lines>15</Lines>
  <Paragraphs>4</Paragraphs>
  <TotalTime>88</TotalTime>
  <ScaleCrop>false</ScaleCrop>
  <LinksUpToDate>false</LinksUpToDate>
  <CharactersWithSpaces>2149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2023-08-08T02:32:00Z</dcterms:created>
  <dc:creator>夏广福v</dc:creator>
  <cp:lastModifiedBy>夏广福v</cp:lastModifiedBy>
  <dcterms:modified xsi:type="dcterms:W3CDTF">2023-08-21T09:30:47Z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8E8F6C9086F44951BF4D38D59F78EBA3_11</vt:lpwstr>
  </property>
</Properties>
</file>