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tLeast"/>
        <w:jc w:val="center"/>
        <w:rPr>
          <w:rFonts w:hint="eastAsia" w:ascii="黑体" w:hAnsi="黑体" w:eastAsia="黑体"/>
          <w:sz w:val="36"/>
          <w:szCs w:val="32"/>
        </w:rPr>
      </w:pPr>
      <w:r>
        <w:rPr>
          <w:rFonts w:hint="eastAsia" w:ascii="黑体" w:hAnsi="黑体" w:eastAsia="黑体"/>
          <w:sz w:val="36"/>
          <w:szCs w:val="32"/>
        </w:rPr>
        <w:t>东莞理工学院网络空间安全学院</w:t>
      </w:r>
    </w:p>
    <w:p>
      <w:pPr>
        <w:spacing w:line="240" w:lineRule="atLeast"/>
        <w:jc w:val="center"/>
        <w:rPr>
          <w:rFonts w:hint="eastAsia" w:ascii="黑体" w:hAnsi="黑体" w:eastAsia="黑体"/>
          <w:sz w:val="36"/>
          <w:szCs w:val="32"/>
        </w:rPr>
      </w:pPr>
      <w:r>
        <w:rPr>
          <w:rFonts w:ascii="黑体" w:hAnsi="黑体" w:eastAsia="黑体"/>
          <w:sz w:val="36"/>
          <w:szCs w:val="32"/>
        </w:rPr>
        <w:t>实验报告</w:t>
      </w:r>
    </w:p>
    <w:p>
      <w:pPr>
        <w:ind w:right="320" w:firstLine="240" w:firstLineChars="100"/>
        <w:jc w:val="left"/>
        <w:rPr>
          <w:rFonts w:eastAsia="华文中宋"/>
          <w:sz w:val="24"/>
        </w:rPr>
      </w:pPr>
      <w:r>
        <w:rPr>
          <w:rFonts w:eastAsia="华文中宋"/>
          <w:sz w:val="24"/>
        </w:rPr>
        <w:t>课程</w:t>
      </w:r>
      <w:r>
        <w:rPr>
          <w:rFonts w:hint="eastAsia" w:eastAsia="华文中宋"/>
          <w:sz w:val="24"/>
        </w:rPr>
        <w:t>名称</w:t>
      </w:r>
      <w:r>
        <w:rPr>
          <w:rFonts w:eastAsia="华文中宋"/>
          <w:sz w:val="24"/>
        </w:rPr>
        <w:t>：</w:t>
      </w:r>
      <w:r>
        <w:rPr>
          <w:rFonts w:hint="eastAsia" w:eastAsia="华文中宋"/>
          <w:sz w:val="24"/>
        </w:rPr>
        <w:t>软件项目管理                                             学期：2025年秋季</w:t>
      </w:r>
      <w:r>
        <w:rPr>
          <w:rFonts w:eastAsia="华文中宋"/>
          <w:sz w:val="24"/>
        </w:rPr>
        <w:t xml:space="preserve"> </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6"/>
        <w:gridCol w:w="1772"/>
        <w:gridCol w:w="1489"/>
        <w:gridCol w:w="1772"/>
        <w:gridCol w:w="1559"/>
        <w:gridCol w:w="18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65" w:hRule="atLeast"/>
          <w:jc w:val="center"/>
        </w:trPr>
        <w:tc>
          <w:tcPr>
            <w:tcW w:w="2016" w:type="dxa"/>
            <w:vAlign w:val="center"/>
          </w:tcPr>
          <w:p>
            <w:pPr>
              <w:spacing w:line="440" w:lineRule="exact"/>
              <w:jc w:val="center"/>
              <w:rPr>
                <w:sz w:val="24"/>
              </w:rPr>
            </w:pPr>
            <w:r>
              <w:rPr>
                <w:sz w:val="24"/>
              </w:rPr>
              <w:t>实验名称</w:t>
            </w:r>
          </w:p>
        </w:tc>
        <w:tc>
          <w:tcPr>
            <w:tcW w:w="5033" w:type="dxa"/>
            <w:gridSpan w:val="3"/>
            <w:vAlign w:val="center"/>
          </w:tcPr>
          <w:p>
            <w:pPr>
              <w:spacing w:line="440" w:lineRule="exact"/>
              <w:jc w:val="center"/>
              <w:rPr>
                <w:sz w:val="24"/>
              </w:rPr>
            </w:pPr>
            <w:r>
              <w:rPr>
                <w:rFonts w:hint="eastAsia" w:ascii="宋体" w:hAnsi="宋体"/>
                <w:szCs w:val="21"/>
                <w:lang w:bidi="zh-CN"/>
              </w:rPr>
              <w:t>风险</w:t>
            </w:r>
            <w:r>
              <w:rPr>
                <w:rFonts w:ascii="宋体" w:hAnsi="宋体"/>
                <w:szCs w:val="21"/>
                <w:lang w:bidi="zh-CN"/>
              </w:rPr>
              <w:t>管理</w:t>
            </w:r>
          </w:p>
        </w:tc>
        <w:tc>
          <w:tcPr>
            <w:tcW w:w="1559" w:type="dxa"/>
            <w:vAlign w:val="center"/>
          </w:tcPr>
          <w:p>
            <w:pPr>
              <w:spacing w:line="440" w:lineRule="exact"/>
              <w:jc w:val="center"/>
              <w:rPr>
                <w:sz w:val="24"/>
              </w:rPr>
            </w:pPr>
            <w:r>
              <w:rPr>
                <w:rFonts w:hint="eastAsia"/>
                <w:sz w:val="24"/>
              </w:rPr>
              <w:t>实验序号</w:t>
            </w:r>
          </w:p>
        </w:tc>
        <w:tc>
          <w:tcPr>
            <w:tcW w:w="1803" w:type="dxa"/>
            <w:vAlign w:val="center"/>
          </w:tcPr>
          <w:p>
            <w:pPr>
              <w:spacing w:line="440" w:lineRule="exact"/>
              <w:jc w:val="center"/>
              <w:rPr>
                <w:sz w:val="24"/>
              </w:rPr>
            </w:pPr>
            <w:r>
              <w:rPr>
                <w:rFonts w:hint="eastAsia"/>
                <w:sz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2016" w:type="dxa"/>
            <w:vAlign w:val="center"/>
          </w:tcPr>
          <w:p>
            <w:pPr>
              <w:spacing w:line="440" w:lineRule="exact"/>
              <w:jc w:val="center"/>
              <w:rPr>
                <w:sz w:val="24"/>
              </w:rPr>
            </w:pPr>
            <w:r>
              <w:rPr>
                <w:sz w:val="24"/>
              </w:rPr>
              <w:t>姓   名</w:t>
            </w:r>
          </w:p>
        </w:tc>
        <w:tc>
          <w:tcPr>
            <w:tcW w:w="1772" w:type="dxa"/>
            <w:vAlign w:val="center"/>
          </w:tcPr>
          <w:p>
            <w:pPr>
              <w:spacing w:line="440" w:lineRule="exact"/>
              <w:jc w:val="center"/>
              <w:rPr>
                <w:rFonts w:hint="eastAsia" w:eastAsia="宋体"/>
                <w:sz w:val="24"/>
                <w:lang w:val="en-US" w:eastAsia="zh-CN"/>
              </w:rPr>
            </w:pPr>
            <w:r>
              <w:rPr>
                <w:rFonts w:hint="eastAsia"/>
                <w:sz w:val="24"/>
                <w:lang w:val="en-US" w:eastAsia="zh-CN"/>
              </w:rPr>
              <w:t>丁翔</w:t>
            </w:r>
          </w:p>
        </w:tc>
        <w:tc>
          <w:tcPr>
            <w:tcW w:w="1489" w:type="dxa"/>
            <w:vAlign w:val="center"/>
          </w:tcPr>
          <w:p>
            <w:pPr>
              <w:spacing w:line="440" w:lineRule="exact"/>
              <w:jc w:val="center"/>
              <w:rPr>
                <w:sz w:val="24"/>
              </w:rPr>
            </w:pPr>
            <w:r>
              <w:rPr>
                <w:sz w:val="24"/>
              </w:rPr>
              <w:t>学    号</w:t>
            </w:r>
          </w:p>
        </w:tc>
        <w:tc>
          <w:tcPr>
            <w:tcW w:w="1772" w:type="dxa"/>
            <w:vAlign w:val="center"/>
          </w:tcPr>
          <w:p>
            <w:pPr>
              <w:spacing w:line="440" w:lineRule="exact"/>
              <w:jc w:val="center"/>
              <w:rPr>
                <w:rFonts w:hint="default" w:eastAsia="宋体"/>
                <w:sz w:val="24"/>
                <w:lang w:val="en-US" w:eastAsia="zh-CN"/>
              </w:rPr>
            </w:pPr>
            <w:r>
              <w:rPr>
                <w:rFonts w:hint="eastAsia"/>
                <w:sz w:val="24"/>
                <w:lang w:val="en-US" w:eastAsia="zh-CN"/>
              </w:rPr>
              <w:t>2023414300203</w:t>
            </w:r>
          </w:p>
        </w:tc>
        <w:tc>
          <w:tcPr>
            <w:tcW w:w="1559" w:type="dxa"/>
            <w:vAlign w:val="center"/>
          </w:tcPr>
          <w:p>
            <w:pPr>
              <w:spacing w:line="440" w:lineRule="exact"/>
              <w:jc w:val="center"/>
              <w:rPr>
                <w:sz w:val="24"/>
              </w:rPr>
            </w:pPr>
            <w:r>
              <w:rPr>
                <w:sz w:val="24"/>
              </w:rPr>
              <w:t>班    级</w:t>
            </w:r>
          </w:p>
        </w:tc>
        <w:tc>
          <w:tcPr>
            <w:tcW w:w="1803" w:type="dxa"/>
            <w:vAlign w:val="center"/>
          </w:tcPr>
          <w:p>
            <w:pPr>
              <w:spacing w:line="440" w:lineRule="exact"/>
              <w:jc w:val="center"/>
              <w:rPr>
                <w:rFonts w:hint="default" w:eastAsia="宋体"/>
                <w:sz w:val="24"/>
                <w:lang w:val="en-US" w:eastAsia="zh-CN"/>
              </w:rPr>
            </w:pPr>
            <w:r>
              <w:rPr>
                <w:rFonts w:hint="eastAsia"/>
                <w:sz w:val="24"/>
                <w:lang w:val="en-US" w:eastAsia="zh-CN"/>
              </w:rPr>
              <w:t>23软件2班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Align w:val="center"/>
          </w:tcPr>
          <w:p>
            <w:pPr>
              <w:spacing w:line="440" w:lineRule="exact"/>
              <w:jc w:val="center"/>
              <w:rPr>
                <w:sz w:val="24"/>
              </w:rPr>
            </w:pPr>
            <w:r>
              <w:rPr>
                <w:sz w:val="24"/>
              </w:rPr>
              <w:t>实验地点</w:t>
            </w:r>
          </w:p>
        </w:tc>
        <w:tc>
          <w:tcPr>
            <w:tcW w:w="1772" w:type="dxa"/>
            <w:vAlign w:val="center"/>
          </w:tcPr>
          <w:p>
            <w:pPr>
              <w:spacing w:line="440" w:lineRule="exact"/>
              <w:jc w:val="center"/>
              <w:rPr>
                <w:rFonts w:hint="default" w:eastAsia="宋体"/>
                <w:sz w:val="24"/>
                <w:lang w:val="en-US" w:eastAsia="zh-CN"/>
              </w:rPr>
            </w:pPr>
            <w:r>
              <w:rPr>
                <w:rFonts w:hint="eastAsia"/>
                <w:sz w:val="24"/>
                <w:lang w:val="en-US" w:eastAsia="zh-CN"/>
              </w:rPr>
              <w:t>8b304</w:t>
            </w:r>
          </w:p>
        </w:tc>
        <w:tc>
          <w:tcPr>
            <w:tcW w:w="1489" w:type="dxa"/>
            <w:vAlign w:val="center"/>
          </w:tcPr>
          <w:p>
            <w:pPr>
              <w:spacing w:line="440" w:lineRule="exact"/>
              <w:jc w:val="center"/>
              <w:rPr>
                <w:sz w:val="24"/>
              </w:rPr>
            </w:pPr>
            <w:r>
              <w:rPr>
                <w:sz w:val="24"/>
              </w:rPr>
              <w:t>实验日期</w:t>
            </w:r>
          </w:p>
        </w:tc>
        <w:tc>
          <w:tcPr>
            <w:tcW w:w="1772" w:type="dxa"/>
            <w:vAlign w:val="center"/>
          </w:tcPr>
          <w:p>
            <w:pPr>
              <w:spacing w:line="440" w:lineRule="exact"/>
              <w:jc w:val="center"/>
              <w:rPr>
                <w:rFonts w:hint="default" w:eastAsia="宋体"/>
                <w:sz w:val="24"/>
                <w:lang w:val="en-US" w:eastAsia="zh-CN"/>
              </w:rPr>
            </w:pPr>
            <w:r>
              <w:rPr>
                <w:rFonts w:hint="eastAsia"/>
                <w:sz w:val="24"/>
                <w:lang w:val="en-US" w:eastAsia="zh-CN"/>
              </w:rPr>
              <w:t>2025.12.3</w:t>
            </w:r>
          </w:p>
        </w:tc>
        <w:tc>
          <w:tcPr>
            <w:tcW w:w="1559" w:type="dxa"/>
            <w:vAlign w:val="center"/>
          </w:tcPr>
          <w:p>
            <w:pPr>
              <w:spacing w:line="440" w:lineRule="exact"/>
              <w:jc w:val="center"/>
              <w:rPr>
                <w:sz w:val="24"/>
              </w:rPr>
            </w:pPr>
            <w:r>
              <w:rPr>
                <w:sz w:val="24"/>
              </w:rPr>
              <w:t>实验成绩</w:t>
            </w:r>
          </w:p>
        </w:tc>
        <w:tc>
          <w:tcPr>
            <w:tcW w:w="1803" w:type="dxa"/>
            <w:vAlign w:val="center"/>
          </w:tcPr>
          <w:p>
            <w:pPr>
              <w:spacing w:line="440" w:lineRule="exact"/>
              <w:jc w:val="center"/>
              <w:rPr>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673" w:hRule="atLeast"/>
          <w:jc w:val="center"/>
        </w:trPr>
        <w:tc>
          <w:tcPr>
            <w:tcW w:w="10411" w:type="dxa"/>
            <w:gridSpan w:val="6"/>
          </w:tcPr>
          <w:p>
            <w:pPr>
              <w:pStyle w:val="17"/>
              <w:rPr>
                <w:sz w:val="24"/>
              </w:rPr>
            </w:pPr>
            <w:r>
              <w:rPr>
                <w:rFonts w:hint="eastAsia"/>
                <w:sz w:val="24"/>
              </w:rPr>
              <w:t>一、实验内容、要求</w:t>
            </w:r>
          </w:p>
          <w:p>
            <w:pPr>
              <w:ind w:firstLine="480" w:firstLineChars="200"/>
              <w:rPr>
                <w:rFonts w:hint="eastAsia" w:ascii="宋体" w:hAnsi="宋体" w:cs="宋体"/>
                <w:kern w:val="0"/>
                <w:sz w:val="24"/>
                <w:szCs w:val="21"/>
              </w:rPr>
            </w:pPr>
            <w:r>
              <w:rPr>
                <w:rFonts w:hint="eastAsia" w:ascii="宋体" w:hAnsi="宋体" w:cs="宋体"/>
                <w:kern w:val="0"/>
                <w:sz w:val="24"/>
                <w:szCs w:val="21"/>
              </w:rPr>
              <w:t>对高校教务管理信息系统开发过程中出现风险进行识别分析和解决。</w:t>
            </w:r>
          </w:p>
          <w:p>
            <w:pPr>
              <w:ind w:firstLine="480" w:firstLineChars="200"/>
              <w:rPr>
                <w:rFonts w:hint="eastAsia" w:ascii="宋体" w:hAnsi="宋体" w:cs="宋体"/>
                <w:kern w:val="0"/>
                <w:sz w:val="24"/>
                <w:szCs w:val="21"/>
              </w:rPr>
            </w:pPr>
            <w:r>
              <w:rPr>
                <w:rFonts w:hint="eastAsia" w:ascii="宋体" w:hAnsi="宋体" w:cs="宋体"/>
                <w:kern w:val="0"/>
                <w:sz w:val="24"/>
                <w:szCs w:val="21"/>
              </w:rPr>
              <w:t>通过对高校教务管理信息系统过程中产生的风险进行风险管理，使得学生能够了解风险管理的必要性，体验实际的开发中怎样识别风险、分析风险、控制风险以及风险发生后来解决风险。</w:t>
            </w:r>
          </w:p>
          <w:p>
            <w:pPr>
              <w:ind w:firstLine="480" w:firstLineChars="200"/>
              <w:rPr>
                <w:rFonts w:hint="eastAsia" w:ascii="宋体" w:hAnsi="宋体" w:cs="宋体"/>
                <w:kern w:val="0"/>
                <w:sz w:val="24"/>
                <w:szCs w:val="21"/>
              </w:rPr>
            </w:pPr>
            <w:r>
              <w:rPr>
                <w:rFonts w:hint="eastAsia" w:ascii="宋体" w:hAnsi="宋体" w:cs="宋体"/>
                <w:kern w:val="0"/>
                <w:sz w:val="24"/>
                <w:szCs w:val="21"/>
              </w:rPr>
              <w:t>学生根据所学知识，运用常用风险识别方法及以往的开发经验可以识别出开发一个信息管理系统时出现的常见风险并制定相应的缓解计划和应急计划。</w:t>
            </w:r>
          </w:p>
          <w:p>
            <w:pPr>
              <w:autoSpaceDE w:val="0"/>
              <w:autoSpaceDN w:val="0"/>
              <w:adjustRightInd w:val="0"/>
              <w:rPr>
                <w:sz w:val="24"/>
              </w:rPr>
            </w:pPr>
            <w:r>
              <w:rPr>
                <w:rFonts w:hint="eastAsia"/>
                <w:sz w:val="24"/>
              </w:rPr>
              <w:t>实验任务：</w:t>
            </w:r>
          </w:p>
          <w:p>
            <w:pPr>
              <w:autoSpaceDE w:val="0"/>
              <w:autoSpaceDN w:val="0"/>
              <w:adjustRightInd w:val="0"/>
              <w:rPr>
                <w:sz w:val="24"/>
              </w:rPr>
            </w:pPr>
            <w:r>
              <w:rPr>
                <w:rFonts w:hint="eastAsia"/>
                <w:sz w:val="24"/>
              </w:rPr>
              <w:t>任务1：根据SEI风险分类、SWOT、信息收集等方法识别项目中存在的至少5个风险</w:t>
            </w:r>
          </w:p>
          <w:p>
            <w:pPr>
              <w:autoSpaceDE w:val="0"/>
              <w:autoSpaceDN w:val="0"/>
              <w:adjustRightInd w:val="0"/>
              <w:rPr>
                <w:sz w:val="24"/>
              </w:rPr>
            </w:pPr>
            <w:r>
              <w:rPr>
                <w:rFonts w:hint="eastAsia"/>
                <w:sz w:val="24"/>
              </w:rPr>
              <w:t>任务2：对风险进行分析，评估其发生的可能性（P）与影响程度（I）</w:t>
            </w:r>
          </w:p>
          <w:p>
            <w:pPr>
              <w:autoSpaceDE w:val="0"/>
              <w:autoSpaceDN w:val="0"/>
              <w:adjustRightInd w:val="0"/>
              <w:rPr>
                <w:sz w:val="24"/>
              </w:rPr>
            </w:pPr>
            <w:r>
              <w:rPr>
                <w:rFonts w:hint="eastAsia"/>
                <w:sz w:val="24"/>
              </w:rPr>
              <w:t>任务3：制定风险应对计划</w:t>
            </w:r>
          </w:p>
          <w:p>
            <w:pPr>
              <w:autoSpaceDE w:val="0"/>
              <w:autoSpaceDN w:val="0"/>
              <w:adjustRightInd w:val="0"/>
              <w:rPr>
                <w:sz w:val="24"/>
              </w:rPr>
            </w:pPr>
            <w:r>
              <w:rPr>
                <w:rFonts w:hint="eastAsia"/>
                <w:sz w:val="24"/>
              </w:rPr>
              <w:t>任务4：制定风险应急计划</w:t>
            </w:r>
          </w:p>
          <w:p>
            <w:pPr>
              <w:autoSpaceDE w:val="0"/>
              <w:autoSpaceDN w:val="0"/>
              <w:adjustRightInd w:val="0"/>
              <w:rPr>
                <w:sz w:val="24"/>
              </w:rPr>
            </w:pPr>
            <w:r>
              <w:rPr>
                <w:rFonts w:hint="eastAsia"/>
                <w:sz w:val="24"/>
              </w:rPr>
              <w:t>任务5：风险追踪</w:t>
            </w:r>
          </w:p>
          <w:p>
            <w:pPr>
              <w:autoSpaceDE w:val="0"/>
              <w:autoSpaceDN w:val="0"/>
              <w:adjustRightInd w:val="0"/>
              <w:ind w:firstLine="480" w:firstLineChars="200"/>
              <w:rPr>
                <w:sz w:val="24"/>
              </w:rPr>
            </w:pPr>
            <w:r>
              <w:rPr>
                <w:rFonts w:hint="eastAsia"/>
                <w:sz w:val="24"/>
              </w:rPr>
              <w:t>使用以下模板记录识别的风险并对其进行追踪</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2"/>
              <w:gridCol w:w="1276"/>
              <w:gridCol w:w="1276"/>
              <w:gridCol w:w="992"/>
              <w:gridCol w:w="1417"/>
              <w:gridCol w:w="855"/>
              <w:gridCol w:w="8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pPr>
                    <w:rPr>
                      <w:rFonts w:hint="eastAsia" w:ascii="宋体" w:hAnsi="宋体"/>
                      <w:szCs w:val="28"/>
                    </w:rPr>
                  </w:pPr>
                  <w:r>
                    <w:rPr>
                      <w:rFonts w:hint="eastAsia" w:ascii="宋体" w:hAnsi="宋体"/>
                      <w:szCs w:val="28"/>
                    </w:rPr>
                    <w:t>风险ID</w:t>
                  </w:r>
                </w:p>
              </w:tc>
              <w:tc>
                <w:tcPr>
                  <w:tcW w:w="1276" w:type="dxa"/>
                  <w:vAlign w:val="center"/>
                </w:tcPr>
                <w:p>
                  <w:pPr>
                    <w:rPr>
                      <w:rFonts w:hint="eastAsia" w:ascii="宋体" w:hAnsi="宋体"/>
                      <w:szCs w:val="28"/>
                    </w:rPr>
                  </w:pPr>
                </w:p>
              </w:tc>
              <w:tc>
                <w:tcPr>
                  <w:tcW w:w="1276" w:type="dxa"/>
                  <w:vAlign w:val="center"/>
                </w:tcPr>
                <w:p>
                  <w:pPr>
                    <w:rPr>
                      <w:rFonts w:hint="eastAsia" w:ascii="宋体" w:hAnsi="宋体"/>
                      <w:szCs w:val="28"/>
                    </w:rPr>
                  </w:pPr>
                  <w:r>
                    <w:rPr>
                      <w:rFonts w:hint="eastAsia" w:ascii="宋体" w:hAnsi="宋体"/>
                      <w:szCs w:val="28"/>
                    </w:rPr>
                    <w:t>风险类别</w:t>
                  </w:r>
                </w:p>
              </w:tc>
              <w:tc>
                <w:tcPr>
                  <w:tcW w:w="992" w:type="dxa"/>
                  <w:vAlign w:val="center"/>
                </w:tcPr>
                <w:p>
                  <w:pPr>
                    <w:rPr>
                      <w:rFonts w:hint="eastAsia" w:ascii="宋体" w:hAnsi="宋体"/>
                      <w:szCs w:val="28"/>
                    </w:rPr>
                  </w:pPr>
                </w:p>
              </w:tc>
              <w:tc>
                <w:tcPr>
                  <w:tcW w:w="1417" w:type="dxa"/>
                  <w:vAlign w:val="center"/>
                </w:tcPr>
                <w:p>
                  <w:pPr>
                    <w:rPr>
                      <w:rFonts w:hint="eastAsia" w:ascii="宋体" w:hAnsi="宋体"/>
                      <w:szCs w:val="28"/>
                    </w:rPr>
                  </w:pPr>
                  <w:r>
                    <w:rPr>
                      <w:rFonts w:hint="eastAsia" w:ascii="宋体" w:hAnsi="宋体"/>
                      <w:szCs w:val="28"/>
                    </w:rPr>
                    <w:t>风险状态</w:t>
                  </w:r>
                </w:p>
              </w:tc>
              <w:tc>
                <w:tcPr>
                  <w:tcW w:w="1709" w:type="dxa"/>
                  <w:gridSpan w:val="2"/>
                  <w:vAlign w:val="center"/>
                </w:tcPr>
                <w:p>
                  <w:pPr>
                    <w:rPr>
                      <w:rFonts w:hint="eastAsia" w:ascii="宋体" w:hAnsi="宋体"/>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pPr>
                    <w:rPr>
                      <w:rFonts w:hint="eastAsia" w:ascii="宋体" w:hAnsi="宋体"/>
                      <w:szCs w:val="28"/>
                    </w:rPr>
                  </w:pPr>
                  <w:r>
                    <w:rPr>
                      <w:rFonts w:hint="eastAsia" w:ascii="宋体" w:hAnsi="宋体"/>
                      <w:szCs w:val="28"/>
                    </w:rPr>
                    <w:t>识别时间</w:t>
                  </w:r>
                </w:p>
              </w:tc>
              <w:tc>
                <w:tcPr>
                  <w:tcW w:w="1276" w:type="dxa"/>
                  <w:vAlign w:val="center"/>
                </w:tcPr>
                <w:p>
                  <w:pPr>
                    <w:rPr>
                      <w:rFonts w:hint="eastAsia" w:ascii="宋体" w:hAnsi="宋体"/>
                      <w:szCs w:val="28"/>
                    </w:rPr>
                  </w:pPr>
                </w:p>
              </w:tc>
              <w:tc>
                <w:tcPr>
                  <w:tcW w:w="1276" w:type="dxa"/>
                  <w:vAlign w:val="center"/>
                </w:tcPr>
                <w:p>
                  <w:pPr>
                    <w:rPr>
                      <w:rFonts w:hint="eastAsia" w:ascii="宋体" w:hAnsi="宋体"/>
                      <w:szCs w:val="28"/>
                    </w:rPr>
                  </w:pPr>
                  <w:r>
                    <w:rPr>
                      <w:rFonts w:hint="eastAsia" w:ascii="宋体" w:hAnsi="宋体"/>
                      <w:szCs w:val="28"/>
                    </w:rPr>
                    <w:t>可能性（P）</w:t>
                  </w:r>
                </w:p>
              </w:tc>
              <w:tc>
                <w:tcPr>
                  <w:tcW w:w="992" w:type="dxa"/>
                  <w:vAlign w:val="center"/>
                </w:tcPr>
                <w:p>
                  <w:pPr>
                    <w:rPr>
                      <w:rFonts w:hint="eastAsia" w:ascii="宋体" w:hAnsi="宋体"/>
                      <w:szCs w:val="28"/>
                    </w:rPr>
                  </w:pPr>
                </w:p>
              </w:tc>
              <w:tc>
                <w:tcPr>
                  <w:tcW w:w="1417" w:type="dxa"/>
                  <w:vAlign w:val="center"/>
                </w:tcPr>
                <w:p>
                  <w:pPr>
                    <w:rPr>
                      <w:rFonts w:hint="eastAsia" w:ascii="宋体" w:hAnsi="宋体"/>
                      <w:szCs w:val="28"/>
                    </w:rPr>
                  </w:pPr>
                  <w:r>
                    <w:rPr>
                      <w:rFonts w:hint="eastAsia" w:ascii="宋体" w:hAnsi="宋体"/>
                      <w:szCs w:val="28"/>
                    </w:rPr>
                    <w:t>影响程度（I）</w:t>
                  </w:r>
                </w:p>
              </w:tc>
              <w:tc>
                <w:tcPr>
                  <w:tcW w:w="1709" w:type="dxa"/>
                  <w:gridSpan w:val="2"/>
                  <w:vAlign w:val="center"/>
                </w:tcPr>
                <w:p>
                  <w:pPr>
                    <w:rPr>
                      <w:rFonts w:hint="eastAsia" w:ascii="宋体" w:hAnsi="宋体"/>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pPr>
                    <w:rPr>
                      <w:rFonts w:hint="eastAsia" w:ascii="宋体" w:hAnsi="宋体"/>
                      <w:szCs w:val="28"/>
                    </w:rPr>
                  </w:pPr>
                  <w:r>
                    <w:rPr>
                      <w:rFonts w:hint="eastAsia" w:ascii="宋体" w:hAnsi="宋体"/>
                      <w:szCs w:val="28"/>
                    </w:rPr>
                    <w:t>风险强度（RE）</w:t>
                  </w:r>
                </w:p>
              </w:tc>
              <w:tc>
                <w:tcPr>
                  <w:tcW w:w="3544" w:type="dxa"/>
                  <w:gridSpan w:val="3"/>
                  <w:vAlign w:val="center"/>
                </w:tcPr>
                <w:p>
                  <w:pPr>
                    <w:rPr>
                      <w:rFonts w:hint="eastAsia" w:ascii="宋体" w:hAnsi="宋体"/>
                      <w:szCs w:val="28"/>
                    </w:rPr>
                  </w:pPr>
                </w:p>
              </w:tc>
              <w:tc>
                <w:tcPr>
                  <w:tcW w:w="1417" w:type="dxa"/>
                  <w:vAlign w:val="center"/>
                </w:tcPr>
                <w:p>
                  <w:pPr>
                    <w:rPr>
                      <w:rFonts w:hint="eastAsia" w:ascii="宋体" w:hAnsi="宋体"/>
                      <w:szCs w:val="28"/>
                    </w:rPr>
                  </w:pPr>
                  <w:r>
                    <w:rPr>
                      <w:rFonts w:hint="eastAsia" w:ascii="宋体" w:hAnsi="宋体"/>
                      <w:szCs w:val="28"/>
                    </w:rPr>
                    <w:t>优先级</w:t>
                  </w:r>
                </w:p>
              </w:tc>
              <w:tc>
                <w:tcPr>
                  <w:tcW w:w="1709" w:type="dxa"/>
                  <w:gridSpan w:val="2"/>
                  <w:vAlign w:val="center"/>
                </w:tcPr>
                <w:p>
                  <w:pPr>
                    <w:rPr>
                      <w:rFonts w:hint="eastAsia" w:ascii="宋体" w:hAnsi="宋体"/>
                      <w:szCs w:val="28"/>
                    </w:rPr>
                  </w:pPr>
                  <w:r>
                    <w:rPr>
                      <w:rFonts w:hint="eastAsia" w:ascii="宋体" w:hAnsi="宋体"/>
                      <w:szCs w:val="28"/>
                    </w:rPr>
                    <w:t>（高、中、低）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Align w:val="center"/>
                </w:tcPr>
                <w:p>
                  <w:pPr>
                    <w:rPr>
                      <w:rFonts w:hint="eastAsia" w:ascii="宋体" w:hAnsi="宋体"/>
                      <w:szCs w:val="28"/>
                    </w:rPr>
                  </w:pPr>
                  <w:r>
                    <w:rPr>
                      <w:rFonts w:hint="eastAsia" w:ascii="宋体" w:hAnsi="宋体"/>
                      <w:szCs w:val="28"/>
                    </w:rPr>
                    <w:t>风险描述</w:t>
                  </w:r>
                </w:p>
              </w:tc>
              <w:tc>
                <w:tcPr>
                  <w:tcW w:w="6670" w:type="dxa"/>
                  <w:gridSpan w:val="6"/>
                  <w:vAlign w:val="center"/>
                </w:tcPr>
                <w:p>
                  <w:pPr>
                    <w:rPr>
                      <w:rFonts w:hint="eastAsia" w:ascii="宋体" w:hAnsi="宋体"/>
                      <w:szCs w:val="28"/>
                    </w:rPr>
                  </w:pPr>
                </w:p>
                <w:p>
                  <w:pPr>
                    <w:rPr>
                      <w:rFonts w:hint="eastAsia" w:ascii="宋体" w:hAnsi="宋体"/>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restart"/>
                  <w:vAlign w:val="center"/>
                </w:tcPr>
                <w:p>
                  <w:pPr>
                    <w:rPr>
                      <w:rFonts w:hint="eastAsia" w:ascii="宋体" w:hAnsi="宋体"/>
                      <w:szCs w:val="28"/>
                    </w:rPr>
                  </w:pPr>
                  <w:r>
                    <w:rPr>
                      <w:rFonts w:hint="eastAsia" w:ascii="宋体" w:hAnsi="宋体"/>
                      <w:szCs w:val="28"/>
                    </w:rPr>
                    <w:t>规避</w:t>
                  </w:r>
                  <w:r>
                    <w:rPr>
                      <w:rFonts w:ascii="宋体" w:hAnsi="宋体"/>
                      <w:szCs w:val="28"/>
                    </w:rPr>
                    <w:t>/</w:t>
                  </w:r>
                  <w:r>
                    <w:rPr>
                      <w:rFonts w:hint="eastAsia" w:ascii="宋体" w:hAnsi="宋体"/>
                      <w:szCs w:val="28"/>
                    </w:rPr>
                    <w:t>减缓计划</w:t>
                  </w:r>
                </w:p>
              </w:tc>
              <w:tc>
                <w:tcPr>
                  <w:tcW w:w="1276" w:type="dxa"/>
                  <w:vAlign w:val="center"/>
                </w:tcPr>
                <w:p>
                  <w:pPr>
                    <w:rPr>
                      <w:rFonts w:hint="eastAsia" w:ascii="宋体" w:hAnsi="宋体"/>
                      <w:szCs w:val="28"/>
                    </w:rPr>
                  </w:pPr>
                  <w:r>
                    <w:rPr>
                      <w:rFonts w:hint="eastAsia" w:ascii="宋体" w:hAnsi="宋体"/>
                      <w:szCs w:val="28"/>
                    </w:rPr>
                    <w:t>时间</w:t>
                  </w:r>
                </w:p>
              </w:tc>
              <w:tc>
                <w:tcPr>
                  <w:tcW w:w="1276" w:type="dxa"/>
                  <w:vAlign w:val="center"/>
                </w:tcPr>
                <w:p>
                  <w:pPr>
                    <w:rPr>
                      <w:rFonts w:hint="eastAsia" w:ascii="宋体" w:hAnsi="宋体"/>
                      <w:szCs w:val="28"/>
                    </w:rPr>
                  </w:pPr>
                </w:p>
              </w:tc>
              <w:tc>
                <w:tcPr>
                  <w:tcW w:w="992" w:type="dxa"/>
                  <w:vAlign w:val="center"/>
                </w:tcPr>
                <w:p>
                  <w:pPr>
                    <w:rPr>
                      <w:rFonts w:hint="eastAsia" w:ascii="宋体" w:hAnsi="宋体"/>
                      <w:szCs w:val="28"/>
                    </w:rPr>
                  </w:pPr>
                  <w:r>
                    <w:rPr>
                      <w:rFonts w:hint="eastAsia" w:ascii="宋体" w:hAnsi="宋体"/>
                      <w:szCs w:val="28"/>
                    </w:rPr>
                    <w:t>人员</w:t>
                  </w:r>
                </w:p>
              </w:tc>
              <w:tc>
                <w:tcPr>
                  <w:tcW w:w="1417" w:type="dxa"/>
                  <w:vAlign w:val="center"/>
                </w:tcPr>
                <w:p>
                  <w:pPr>
                    <w:rPr>
                      <w:rFonts w:hint="eastAsia" w:ascii="宋体" w:hAnsi="宋体"/>
                      <w:szCs w:val="28"/>
                    </w:rPr>
                  </w:pPr>
                </w:p>
              </w:tc>
              <w:tc>
                <w:tcPr>
                  <w:tcW w:w="855" w:type="dxa"/>
                  <w:vAlign w:val="center"/>
                </w:tcPr>
                <w:p>
                  <w:pPr>
                    <w:rPr>
                      <w:rFonts w:hint="eastAsia" w:ascii="宋体" w:hAnsi="宋体"/>
                      <w:szCs w:val="28"/>
                    </w:rPr>
                  </w:pPr>
                  <w:r>
                    <w:rPr>
                      <w:rFonts w:hint="eastAsia" w:ascii="宋体" w:hAnsi="宋体"/>
                      <w:szCs w:val="28"/>
                    </w:rPr>
                    <w:t>负责人</w:t>
                  </w:r>
                </w:p>
              </w:tc>
              <w:tc>
                <w:tcPr>
                  <w:tcW w:w="854" w:type="dxa"/>
                  <w:vAlign w:val="center"/>
                </w:tcPr>
                <w:p>
                  <w:pPr>
                    <w:rPr>
                      <w:rFonts w:hint="eastAsia" w:ascii="宋体" w:hAnsi="宋体"/>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szCs w:val="28"/>
                    </w:rPr>
                  </w:pPr>
                </w:p>
              </w:tc>
              <w:tc>
                <w:tcPr>
                  <w:tcW w:w="1276" w:type="dxa"/>
                  <w:vAlign w:val="center"/>
                </w:tcPr>
                <w:p>
                  <w:pPr>
                    <w:rPr>
                      <w:rFonts w:hint="eastAsia" w:ascii="宋体" w:hAnsi="宋体"/>
                      <w:szCs w:val="28"/>
                    </w:rPr>
                  </w:pPr>
                  <w:r>
                    <w:rPr>
                      <w:rFonts w:hint="eastAsia" w:ascii="宋体" w:hAnsi="宋体"/>
                      <w:szCs w:val="28"/>
                    </w:rPr>
                    <w:t>内容</w:t>
                  </w:r>
                </w:p>
              </w:tc>
              <w:tc>
                <w:tcPr>
                  <w:tcW w:w="5394" w:type="dxa"/>
                  <w:gridSpan w:val="5"/>
                  <w:vAlign w:val="center"/>
                </w:tcPr>
                <w:p>
                  <w:pPr>
                    <w:rPr>
                      <w:rFonts w:hint="eastAsia" w:ascii="宋体" w:hAnsi="宋体"/>
                      <w:szCs w:val="28"/>
                    </w:rPr>
                  </w:pPr>
                </w:p>
                <w:p>
                  <w:pPr>
                    <w:rPr>
                      <w:rFonts w:hint="eastAsia" w:ascii="宋体" w:hAnsi="宋体"/>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szCs w:val="28"/>
                    </w:rPr>
                  </w:pPr>
                </w:p>
              </w:tc>
              <w:tc>
                <w:tcPr>
                  <w:tcW w:w="1276" w:type="dxa"/>
                  <w:vAlign w:val="center"/>
                </w:tcPr>
                <w:p>
                  <w:pPr>
                    <w:rPr>
                      <w:rFonts w:hint="eastAsia" w:ascii="宋体" w:hAnsi="宋体"/>
                      <w:szCs w:val="28"/>
                    </w:rPr>
                  </w:pPr>
                  <w:r>
                    <w:rPr>
                      <w:rFonts w:hint="eastAsia" w:ascii="宋体" w:hAnsi="宋体"/>
                      <w:szCs w:val="28"/>
                    </w:rPr>
                    <w:t>执行情况</w:t>
                  </w:r>
                </w:p>
              </w:tc>
              <w:tc>
                <w:tcPr>
                  <w:tcW w:w="5394" w:type="dxa"/>
                  <w:gridSpan w:val="5"/>
                  <w:vAlign w:val="center"/>
                </w:tcPr>
                <w:p>
                  <w:pPr>
                    <w:rPr>
                      <w:rFonts w:hint="eastAsia" w:ascii="宋体" w:hAnsi="宋体"/>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restart"/>
                  <w:vAlign w:val="center"/>
                </w:tcPr>
                <w:p>
                  <w:pPr>
                    <w:rPr>
                      <w:rFonts w:hint="eastAsia" w:ascii="宋体" w:hAnsi="宋体"/>
                      <w:szCs w:val="28"/>
                    </w:rPr>
                  </w:pPr>
                  <w:r>
                    <w:rPr>
                      <w:rFonts w:hint="eastAsia" w:ascii="宋体" w:hAnsi="宋体"/>
                      <w:szCs w:val="28"/>
                    </w:rPr>
                    <w:t>应急计划</w:t>
                  </w:r>
                </w:p>
              </w:tc>
              <w:tc>
                <w:tcPr>
                  <w:tcW w:w="1276" w:type="dxa"/>
                  <w:vAlign w:val="center"/>
                </w:tcPr>
                <w:p>
                  <w:pPr>
                    <w:rPr>
                      <w:rFonts w:hint="eastAsia" w:ascii="宋体" w:hAnsi="宋体"/>
                      <w:szCs w:val="28"/>
                    </w:rPr>
                  </w:pPr>
                  <w:r>
                    <w:rPr>
                      <w:rFonts w:hint="eastAsia" w:ascii="宋体" w:hAnsi="宋体"/>
                      <w:szCs w:val="28"/>
                    </w:rPr>
                    <w:t>触发条件</w:t>
                  </w:r>
                </w:p>
              </w:tc>
              <w:tc>
                <w:tcPr>
                  <w:tcW w:w="1276" w:type="dxa"/>
                  <w:vAlign w:val="center"/>
                </w:tcPr>
                <w:p>
                  <w:pPr>
                    <w:rPr>
                      <w:rFonts w:hint="eastAsia" w:ascii="宋体" w:hAnsi="宋体"/>
                      <w:szCs w:val="28"/>
                    </w:rPr>
                  </w:pPr>
                </w:p>
              </w:tc>
              <w:tc>
                <w:tcPr>
                  <w:tcW w:w="992" w:type="dxa"/>
                  <w:vAlign w:val="center"/>
                </w:tcPr>
                <w:p>
                  <w:pPr>
                    <w:rPr>
                      <w:rFonts w:hint="eastAsia" w:ascii="宋体" w:hAnsi="宋体"/>
                      <w:szCs w:val="28"/>
                    </w:rPr>
                  </w:pPr>
                  <w:r>
                    <w:rPr>
                      <w:rFonts w:hint="eastAsia" w:ascii="宋体" w:hAnsi="宋体"/>
                      <w:szCs w:val="28"/>
                    </w:rPr>
                    <w:t>人员</w:t>
                  </w:r>
                </w:p>
              </w:tc>
              <w:tc>
                <w:tcPr>
                  <w:tcW w:w="1417" w:type="dxa"/>
                  <w:vAlign w:val="center"/>
                </w:tcPr>
                <w:p>
                  <w:pPr>
                    <w:rPr>
                      <w:rFonts w:hint="eastAsia" w:ascii="宋体" w:hAnsi="宋体"/>
                      <w:szCs w:val="28"/>
                    </w:rPr>
                  </w:pPr>
                </w:p>
              </w:tc>
              <w:tc>
                <w:tcPr>
                  <w:tcW w:w="855" w:type="dxa"/>
                  <w:vAlign w:val="center"/>
                </w:tcPr>
                <w:p>
                  <w:pPr>
                    <w:rPr>
                      <w:rFonts w:hint="eastAsia" w:ascii="宋体" w:hAnsi="宋体"/>
                      <w:szCs w:val="28"/>
                    </w:rPr>
                  </w:pPr>
                  <w:r>
                    <w:rPr>
                      <w:rFonts w:hint="eastAsia" w:ascii="宋体" w:hAnsi="宋体"/>
                      <w:szCs w:val="28"/>
                    </w:rPr>
                    <w:t>负责人</w:t>
                  </w:r>
                </w:p>
              </w:tc>
              <w:tc>
                <w:tcPr>
                  <w:tcW w:w="854" w:type="dxa"/>
                  <w:vAlign w:val="center"/>
                </w:tcPr>
                <w:p>
                  <w:pPr>
                    <w:rPr>
                      <w:rFonts w:hint="eastAsia" w:ascii="宋体" w:hAnsi="宋体"/>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szCs w:val="28"/>
                    </w:rPr>
                  </w:pPr>
                </w:p>
              </w:tc>
              <w:tc>
                <w:tcPr>
                  <w:tcW w:w="1276" w:type="dxa"/>
                  <w:vAlign w:val="center"/>
                </w:tcPr>
                <w:p>
                  <w:pPr>
                    <w:rPr>
                      <w:rFonts w:hint="eastAsia" w:ascii="宋体" w:hAnsi="宋体"/>
                      <w:szCs w:val="28"/>
                    </w:rPr>
                  </w:pPr>
                  <w:r>
                    <w:rPr>
                      <w:rFonts w:hint="eastAsia" w:ascii="宋体" w:hAnsi="宋体"/>
                      <w:szCs w:val="28"/>
                    </w:rPr>
                    <w:t>内容</w:t>
                  </w:r>
                </w:p>
              </w:tc>
              <w:tc>
                <w:tcPr>
                  <w:tcW w:w="5394" w:type="dxa"/>
                  <w:gridSpan w:val="5"/>
                  <w:vAlign w:val="center"/>
                </w:tcPr>
                <w:p>
                  <w:pPr>
                    <w:rPr>
                      <w:rFonts w:hint="eastAsia" w:ascii="宋体" w:hAnsi="宋体"/>
                      <w:szCs w:val="28"/>
                    </w:rPr>
                  </w:pPr>
                </w:p>
                <w:p>
                  <w:pPr>
                    <w:rPr>
                      <w:rFonts w:hint="eastAsia" w:ascii="宋体" w:hAnsi="宋体"/>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szCs w:val="28"/>
                    </w:rPr>
                  </w:pPr>
                </w:p>
              </w:tc>
              <w:tc>
                <w:tcPr>
                  <w:tcW w:w="1276" w:type="dxa"/>
                  <w:vAlign w:val="center"/>
                </w:tcPr>
                <w:p>
                  <w:pPr>
                    <w:rPr>
                      <w:rFonts w:hint="eastAsia" w:ascii="宋体" w:hAnsi="宋体"/>
                      <w:szCs w:val="28"/>
                    </w:rPr>
                  </w:pPr>
                  <w:r>
                    <w:rPr>
                      <w:rFonts w:hint="eastAsia" w:ascii="宋体" w:hAnsi="宋体"/>
                      <w:szCs w:val="28"/>
                    </w:rPr>
                    <w:t>执行情况</w:t>
                  </w:r>
                </w:p>
              </w:tc>
              <w:tc>
                <w:tcPr>
                  <w:tcW w:w="5394" w:type="dxa"/>
                  <w:gridSpan w:val="5"/>
                  <w:vAlign w:val="center"/>
                </w:tcPr>
                <w:p>
                  <w:pPr>
                    <w:rPr>
                      <w:rFonts w:hint="eastAsia" w:ascii="宋体" w:hAnsi="宋体"/>
                      <w:szCs w:val="28"/>
                    </w:rPr>
                  </w:pPr>
                </w:p>
              </w:tc>
            </w:tr>
          </w:tbl>
          <w:p>
            <w:pPr>
              <w:autoSpaceDE w:val="0"/>
              <w:autoSpaceDN w:val="0"/>
              <w:adjustRightInd w:val="0"/>
              <w:rPr>
                <w:sz w:val="24"/>
              </w:rPr>
            </w:pPr>
          </w:p>
          <w:p>
            <w:pPr>
              <w:autoSpaceDE w:val="0"/>
              <w:autoSpaceDN w:val="0"/>
              <w:adjustRightInd w:val="0"/>
              <w:rPr>
                <w:sz w:val="24"/>
              </w:rPr>
            </w:pPr>
          </w:p>
          <w:p>
            <w:pPr>
              <w:autoSpaceDE w:val="0"/>
              <w:autoSpaceDN w:val="0"/>
              <w:adjustRightInd w:val="0"/>
              <w:rPr>
                <w:sz w:val="24"/>
              </w:rPr>
            </w:pPr>
          </w:p>
          <w:p>
            <w:pPr>
              <w:autoSpaceDE w:val="0"/>
              <w:autoSpaceDN w:val="0"/>
              <w:adjustRightInd w:val="0"/>
              <w:rPr>
                <w:b/>
                <w:bCs/>
                <w:sz w:val="24"/>
              </w:rPr>
            </w:pPr>
            <w:r>
              <w:rPr>
                <w:rFonts w:hint="eastAsia"/>
                <w:b/>
                <w:bCs/>
                <w:sz w:val="24"/>
              </w:rPr>
              <w:t>二、</w:t>
            </w:r>
            <w:r>
              <w:rPr>
                <w:rFonts w:hint="eastAsia" w:ascii="宋体" w:hAnsi="宋体"/>
                <w:b/>
                <w:bCs/>
                <w:sz w:val="24"/>
              </w:rPr>
              <w:t>实验方法</w:t>
            </w:r>
          </w:p>
          <w:p>
            <w:pPr>
              <w:rPr>
                <w:sz w:val="24"/>
              </w:rPr>
            </w:pPr>
            <w:r>
              <w:rPr>
                <w:sz w:val="24"/>
              </w:rPr>
              <w:t>（</w:t>
            </w:r>
            <w:r>
              <w:rPr>
                <w:rFonts w:hint="eastAsia"/>
                <w:sz w:val="24"/>
              </w:rPr>
              <w:t>风险识别方法简介</w:t>
            </w:r>
            <w:r>
              <w:rPr>
                <w:sz w:val="24"/>
              </w:rPr>
              <w:t>）</w:t>
            </w:r>
          </w:p>
          <w:p>
            <w:pPr>
              <w:rPr>
                <w:sz w:val="24"/>
              </w:rPr>
            </w:pPr>
          </w:p>
          <w:p>
            <w:pPr>
              <w:rPr>
                <w:sz w:val="24"/>
              </w:rPr>
            </w:pPr>
            <w:r>
              <w:rPr>
                <w:sz w:val="24"/>
                <w:lang w:val="en-US" w:eastAsia="zh-CN"/>
              </w:rPr>
              <w:t>本次实验主要采用SEI风险分类法、SWOT分析法、信息收集法三种核心风险识别方法，结合高校教务管理信息系统开发的行业特性与项目实际场景开展风险识别工作，各方法简介如下：</w:t>
            </w:r>
          </w:p>
          <w:p>
            <w:pPr>
              <w:rPr>
                <w:sz w:val="24"/>
              </w:rPr>
            </w:pPr>
          </w:p>
          <w:p>
            <w:pPr>
              <w:rPr>
                <w:sz w:val="24"/>
              </w:rPr>
            </w:pPr>
            <w:r>
              <w:rPr>
                <w:sz w:val="24"/>
                <w:lang w:val="en-US" w:eastAsia="zh-CN"/>
              </w:rPr>
              <w:t>SEI风险分类法：该方法由美国软件工程研究所提出，将软件项目风险划分为产品规模风险、商业影响风险、客户相关风险、过程风险、技术风险、开发环境风险、团队风险七大核心类别。实验中，基于该分类框架，逐一对应高校教务管理信息系统开发各环节，排查不同类别下可能存在的潜在风险，确保风险识别的全面性与系统性，避免遗漏关键风险领域。</w:t>
            </w:r>
          </w:p>
          <w:p>
            <w:pPr>
              <w:rPr>
                <w:sz w:val="24"/>
              </w:rPr>
            </w:pPr>
          </w:p>
          <w:p>
            <w:pPr>
              <w:rPr>
                <w:sz w:val="24"/>
              </w:rPr>
            </w:pPr>
          </w:p>
          <w:p>
            <w:pPr>
              <w:rPr>
                <w:sz w:val="24"/>
              </w:rPr>
            </w:pPr>
            <w:r>
              <w:rPr>
                <w:sz w:val="24"/>
                <w:lang w:val="en-US" w:eastAsia="zh-CN"/>
              </w:rPr>
              <w:t>SWOT分析法：通过分析项目的优势（Strengths）、劣势（Weaknesses）、机会（Opportunities）、威胁（Threats）四个维度，聚焦“劣势-威胁”组合挖掘潜在风险。在实验中，结合高校教务管理信息系统的开发目标（提升教务管理效率、实现数字化管理），梳理项目团队技术能力、现有开发资源等内部劣势，以及行业技术迭代、用户需求变化等外部威胁，进而识别出因内部劣势叠加外部威胁可能引发的风险。</w:t>
            </w:r>
          </w:p>
          <w:p>
            <w:pPr>
              <w:rPr>
                <w:sz w:val="24"/>
              </w:rPr>
            </w:pPr>
          </w:p>
          <w:p>
            <w:pPr>
              <w:rPr>
                <w:sz w:val="24"/>
              </w:rPr>
            </w:pPr>
          </w:p>
          <w:p>
            <w:pPr>
              <w:rPr>
                <w:sz w:val="24"/>
              </w:rPr>
            </w:pPr>
            <w:r>
              <w:rPr>
                <w:sz w:val="24"/>
                <w:lang w:val="en-US" w:eastAsia="zh-CN"/>
              </w:rPr>
              <w:t>信息收集法：包含文献调研、专家咨询、历史项目复盘三个子环节。文献调研聚焦高校教务管理系统相关的开发案例与风险管理研究，收集同类项目常见风险点；专家咨询邀请具有教务系统开发经验的教师或行业工程师，结合项目实际场景提供风险建议；历史项目复盘梳理团队过往开发的信息系统项目中出现的风险问题，借鉴经验识别本次项目可能重复出现的风险。通过多渠道信息收集，提升风险识别的准确性与针对性。</w:t>
            </w:r>
          </w:p>
          <w:p>
            <w:pPr>
              <w:rPr>
                <w:sz w:val="24"/>
              </w:rPr>
            </w:pPr>
          </w:p>
          <w:p>
            <w:pPr>
              <w:rPr>
                <w:sz w:val="24"/>
              </w:rPr>
            </w:pPr>
          </w:p>
          <w:p>
            <w:pPr>
              <w:rPr>
                <w:sz w:val="24"/>
              </w:rPr>
            </w:pPr>
          </w:p>
          <w:p>
            <w:pPr>
              <w:rPr>
                <w:sz w:val="24"/>
              </w:rPr>
            </w:pPr>
          </w:p>
          <w:p>
            <w:pPr>
              <w:rPr>
                <w:rFonts w:hint="eastAsia" w:ascii="宋体" w:hAnsi="宋体"/>
                <w:sz w:val="24"/>
              </w:rPr>
            </w:pPr>
            <w:r>
              <w:rPr>
                <w:rFonts w:hint="eastAsia"/>
                <w:b/>
                <w:bCs/>
                <w:sz w:val="24"/>
              </w:rPr>
              <w:t>三、实验结果</w:t>
            </w:r>
          </w:p>
          <w:p>
            <w:pPr>
              <w:rPr>
                <w:rFonts w:hint="eastAsia" w:ascii="宋体" w:hAnsi="宋体"/>
                <w:sz w:val="24"/>
              </w:rPr>
            </w:pPr>
            <w:r>
              <w:rPr>
                <w:rFonts w:ascii="宋体" w:hAnsi="宋体"/>
                <w:sz w:val="24"/>
              </w:rPr>
              <w:t>（</w:t>
            </w:r>
            <w:r>
              <w:rPr>
                <w:rFonts w:hint="eastAsia" w:ascii="宋体" w:hAnsi="宋体"/>
                <w:sz w:val="24"/>
              </w:rPr>
              <w:t>风险登记册</w:t>
            </w:r>
            <w:r>
              <w:rPr>
                <w:rFonts w:ascii="宋体" w:hAnsi="宋体"/>
                <w:sz w:val="24"/>
              </w:rPr>
              <w:t>）</w:t>
            </w:r>
          </w:p>
          <w:p>
            <w:pPr>
              <w:rPr>
                <w:rFonts w:hint="eastAsia" w:ascii="宋体" w:hAnsi="宋体"/>
                <w:sz w:val="24"/>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2"/>
              <w:gridCol w:w="1276"/>
              <w:gridCol w:w="1276"/>
              <w:gridCol w:w="992"/>
              <w:gridCol w:w="1417"/>
              <w:gridCol w:w="855"/>
              <w:gridCol w:w="8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风险ID</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RISK-001</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风险类别</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color w:val="000000"/>
                      <w:spacing w:val="0"/>
                      <w:sz w:val="21"/>
                      <w:szCs w:val="21"/>
                      <w:shd w:val="clear" w:fill="F2F2F2"/>
                    </w:rPr>
                    <w:t>客户相关风险</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风险状态</w:t>
                  </w:r>
                </w:p>
              </w:tc>
              <w:tc>
                <w:tcPr>
                  <w:tcW w:w="1709" w:type="dxa"/>
                  <w:gridSpan w:val="2"/>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color w:val="000000"/>
                      <w:spacing w:val="0"/>
                      <w:sz w:val="21"/>
                      <w:szCs w:val="21"/>
                      <w:shd w:val="clear" w:fill="F2F2F2"/>
                    </w:rPr>
                    <w:t>已缓解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识别时间</w:t>
                  </w:r>
                </w:p>
              </w:tc>
              <w:tc>
                <w:tcPr>
                  <w:tcW w:w="1276" w:type="dxa"/>
                  <w:vAlign w:val="center"/>
                </w:tcPr>
                <w:tbl>
                  <w:tblPr>
                    <w:tblW w:w="0" w:type="auto"/>
                    <w:tblInd w:w="-12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8640"/>
                  </w:tblGrid>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8640" w:type="dxa"/>
                        <w:tcBorders>
                          <w:top w:val="nil"/>
                          <w:left w:val="nil"/>
                          <w:bottom w:val="nil"/>
                          <w:right w:val="single" w:color="auto" w:sz="2" w:space="0"/>
                        </w:tcBorders>
                        <w:shd w:val="clear" w:color="auto" w:fill="FFFFFF"/>
                        <w:tcMar>
                          <w:top w:w="80" w:type="dxa"/>
                          <w:left w:w="120" w:type="dxa"/>
                          <w:bottom w:w="80" w:type="dxa"/>
                          <w:right w:w="120" w:type="dxa"/>
                        </w:tcMar>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2025-12-01</w:t>
                        </w:r>
                      </w:p>
                    </w:tc>
                  </w:tr>
                </w:tbl>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可能性（P）</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4（1-5 分）</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影响程度（I）</w:t>
                  </w:r>
                </w:p>
              </w:tc>
              <w:tc>
                <w:tcPr>
                  <w:tcW w:w="1709" w:type="dxa"/>
                  <w:gridSpan w:val="2"/>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5（1-5 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风险强度（RE）</w:t>
                  </w:r>
                </w:p>
              </w:tc>
              <w:tc>
                <w:tcPr>
                  <w:tcW w:w="3544" w:type="dxa"/>
                  <w:gridSpan w:val="3"/>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20</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优先级</w:t>
                  </w:r>
                </w:p>
              </w:tc>
              <w:tc>
                <w:tcPr>
                  <w:tcW w:w="1709" w:type="dxa"/>
                  <w:gridSpan w:val="2"/>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（高、中、低）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风险描述</w:t>
                  </w:r>
                </w:p>
              </w:tc>
              <w:tc>
                <w:tcPr>
                  <w:tcW w:w="6670" w:type="dxa"/>
                  <w:gridSpan w:val="6"/>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开发过程中，教务处用户提出频繁的需求变更，导致需求规格说明书频繁修订，开发任务返工，延误项目进度</w:t>
                  </w:r>
                </w:p>
                <w:p>
                  <w:pPr>
                    <w:rPr>
                      <w:rFonts w:hint="eastAsia" w:ascii="宋体" w:hAnsi="宋体" w:eastAsia="宋体" w:cs="宋体"/>
                      <w:b w:val="0"/>
                      <w:bCs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restart"/>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规避/减缓计划</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时间</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需求调研阶段（2025-12-01 至 2025-12-10）</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人员</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需求分析师 2 名、项目经理 1 名、教务处代表 3 名、院系代表 2 名、学生代表 2 名</w:t>
                  </w:r>
                </w:p>
              </w:tc>
              <w:tc>
                <w:tcPr>
                  <w:tcW w:w="855"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负责人</w:t>
                  </w:r>
                </w:p>
              </w:tc>
              <w:tc>
                <w:tcPr>
                  <w:tcW w:w="854"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项目经理：张三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内容</w:t>
                  </w:r>
                </w:p>
              </w:tc>
              <w:tc>
                <w:tcPr>
                  <w:tcW w:w="5394" w:type="dxa"/>
                  <w:gridSpan w:val="5"/>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1. 需求调研阶段组织多轮用户研讨会，覆盖核心用户全面梳理需求；2. 形成需求规格说明书并用户签字确认，明确变更流程；3. 预留 10% 需求变更缓冲工期</w:t>
                  </w:r>
                </w:p>
                <w:p>
                  <w:pPr>
                    <w:rPr>
                      <w:rFonts w:hint="eastAsia" w:ascii="宋体" w:hAnsi="宋体" w:eastAsia="宋体" w:cs="宋体"/>
                      <w:b w:val="0"/>
                      <w:bCs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执行情况</w:t>
                  </w:r>
                </w:p>
              </w:tc>
              <w:tc>
                <w:tcPr>
                  <w:tcW w:w="5394" w:type="dxa"/>
                  <w:gridSpan w:val="5"/>
                  <w:vAlign w:val="center"/>
                </w:tcPr>
                <w:tbl>
                  <w:tblPr>
                    <w:tblW w:w="0" w:type="auto"/>
                    <w:tblInd w:w="-12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8640"/>
                  </w:tblGrid>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8640" w:type="dxa"/>
                        <w:tcBorders>
                          <w:top w:val="nil"/>
                          <w:left w:val="nil"/>
                          <w:bottom w:val="nil"/>
                          <w:right w:val="single" w:color="auto" w:sz="2" w:space="0"/>
                        </w:tcBorders>
                        <w:shd w:val="clear" w:color="auto" w:fill="FFFFFF"/>
                        <w:tcMar>
                          <w:top w:w="80" w:type="dxa"/>
                          <w:left w:w="120" w:type="dxa"/>
                          <w:bottom w:w="80" w:type="dxa"/>
                          <w:right w:w="120" w:type="dxa"/>
                        </w:tcMar>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已完成需求规格说明书签字确认，明确变更流程，缓冲工期已纳入项目计划</w:t>
                        </w:r>
                      </w:p>
                    </w:tc>
                  </w:tr>
                </w:tbl>
                <w:p>
                  <w:pPr>
                    <w:rPr>
                      <w:rFonts w:hint="eastAsia" w:ascii="宋体" w:hAnsi="宋体" w:eastAsia="宋体" w:cs="宋体"/>
                      <w:b w:val="0"/>
                      <w:bCs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restart"/>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应急计划</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触发条件</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收到用户正式提交的需求变更申请</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人员</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项目经理、需求分析师、开发组长、相关开发人员</w:t>
                  </w:r>
                </w:p>
              </w:tc>
              <w:tc>
                <w:tcPr>
                  <w:tcW w:w="855"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负责人</w:t>
                  </w:r>
                </w:p>
              </w:tc>
              <w:tc>
                <w:tcPr>
                  <w:tcW w:w="854"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开发组长：李四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内容</w:t>
                  </w:r>
                </w:p>
              </w:tc>
              <w:tc>
                <w:tcPr>
                  <w:tcW w:w="5394" w:type="dxa"/>
                  <w:gridSpan w:val="5"/>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1. 收到变更申请后立即召开紧急评审会评估影响；2. 小变更在缓冲工期内修改，大变更协商分阶段实施；3. 优先保障核心功能开发</w:t>
                  </w:r>
                </w:p>
                <w:p>
                  <w:pPr>
                    <w:rPr>
                      <w:rFonts w:hint="eastAsia" w:ascii="宋体" w:hAnsi="宋体" w:eastAsia="宋体" w:cs="宋体"/>
                      <w:b w:val="0"/>
                      <w:bCs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执行情况</w:t>
                  </w:r>
                </w:p>
              </w:tc>
              <w:tc>
                <w:tcPr>
                  <w:tcW w:w="5394" w:type="dxa"/>
                  <w:gridSpan w:val="5"/>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未触发，相关预案已向团队全员培训</w:t>
                  </w:r>
                </w:p>
              </w:tc>
            </w:tr>
          </w:tbl>
          <w:p>
            <w:pPr>
              <w:rPr>
                <w:rFonts w:hint="eastAsia" w:ascii="宋体" w:hAnsi="宋体" w:eastAsia="宋体" w:cs="宋体"/>
                <w:b w:val="0"/>
                <w:bCs w:val="0"/>
                <w:sz w:val="21"/>
                <w:szCs w:val="21"/>
              </w:rPr>
            </w:pPr>
          </w:p>
          <w:p>
            <w:pPr>
              <w:rPr>
                <w:rFonts w:hint="eastAsia" w:ascii="宋体" w:hAnsi="宋体" w:eastAsia="宋体" w:cs="宋体"/>
                <w:b w:val="0"/>
                <w:bCs w:val="0"/>
                <w:sz w:val="21"/>
                <w:szCs w:val="21"/>
              </w:rPr>
            </w:pPr>
          </w:p>
          <w:p>
            <w:pPr>
              <w:rPr>
                <w:rFonts w:hint="eastAsia" w:ascii="宋体" w:hAnsi="宋体" w:eastAsia="宋体" w:cs="宋体"/>
                <w:b w:val="0"/>
                <w:bCs w:val="0"/>
                <w:sz w:val="21"/>
                <w:szCs w:val="21"/>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2"/>
              <w:gridCol w:w="1276"/>
              <w:gridCol w:w="1276"/>
              <w:gridCol w:w="992"/>
              <w:gridCol w:w="1417"/>
              <w:gridCol w:w="855"/>
              <w:gridCol w:w="8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风险ID</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RISK-002</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风险类别</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color w:val="000000"/>
                      <w:spacing w:val="0"/>
                      <w:sz w:val="21"/>
                      <w:szCs w:val="21"/>
                      <w:shd w:val="clear" w:fill="F2F2F2"/>
                    </w:rPr>
                    <w:t>技术风险</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风险状态</w:t>
                  </w:r>
                </w:p>
              </w:tc>
              <w:tc>
                <w:tcPr>
                  <w:tcW w:w="1709" w:type="dxa"/>
                  <w:gridSpan w:val="2"/>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color w:val="000000"/>
                      <w:spacing w:val="0"/>
                      <w:sz w:val="21"/>
                      <w:szCs w:val="21"/>
                      <w:shd w:val="clear" w:fill="F2F2F2"/>
                    </w:rPr>
                    <w:t>未发生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识别时间</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2025-12-02</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可能性（P）</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3（1-5 分）</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影响程度（I）</w:t>
                  </w:r>
                </w:p>
              </w:tc>
              <w:tc>
                <w:tcPr>
                  <w:tcW w:w="1709" w:type="dxa"/>
                  <w:gridSpan w:val="2"/>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4（1-5 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风险强度（RE）</w:t>
                  </w:r>
                </w:p>
              </w:tc>
              <w:tc>
                <w:tcPr>
                  <w:tcW w:w="3544" w:type="dxa"/>
                  <w:gridSpan w:val="3"/>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12</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优先级</w:t>
                  </w:r>
                </w:p>
              </w:tc>
              <w:tc>
                <w:tcPr>
                  <w:tcW w:w="1709" w:type="dxa"/>
                  <w:gridSpan w:val="2"/>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风险描述</w:t>
                  </w:r>
                </w:p>
              </w:tc>
              <w:tc>
                <w:tcPr>
                  <w:tcW w:w="6670" w:type="dxa"/>
                  <w:gridSpan w:val="6"/>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系统采用的 B/S 架构在高并发场景（如期末成绩查询高峰）下，可能出现响应延迟、系统卡顿甚至崩溃的问题，影响用户使用体验</w:t>
                  </w:r>
                </w:p>
                <w:p>
                  <w:pPr>
                    <w:rPr>
                      <w:rFonts w:hint="eastAsia" w:ascii="宋体" w:hAnsi="宋体" w:eastAsia="宋体" w:cs="宋体"/>
                      <w:b w:val="0"/>
                      <w:bCs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restart"/>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规避/减缓计划</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时间</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技术选型阶段（2025-12-11 至 2025-12-20）；性能测试每 2 周 1 次（2025-12-21 至项目上线前）</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人员</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技术架构师 1 名、测试工程师 2 名、开发工程师 3 名、运维工程师 1 名</w:t>
                  </w:r>
                </w:p>
              </w:tc>
              <w:tc>
                <w:tcPr>
                  <w:tcW w:w="855"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负责人</w:t>
                  </w:r>
                </w:p>
              </w:tc>
              <w:tc>
                <w:tcPr>
                  <w:tcW w:w="854"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技术架构师：王五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内容</w:t>
                  </w:r>
                </w:p>
              </w:tc>
              <w:tc>
                <w:tcPr>
                  <w:tcW w:w="5394" w:type="dxa"/>
                  <w:gridSpan w:val="5"/>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1. 技术选型阶段验证架构可行性，模拟高并发测试；2. 采用分布式数据库提升效率；3. 定期开展性能测试排查瓶颈</w:t>
                  </w:r>
                </w:p>
                <w:p>
                  <w:pPr>
                    <w:rPr>
                      <w:rFonts w:hint="eastAsia" w:ascii="宋体" w:hAnsi="宋体" w:eastAsia="宋体" w:cs="宋体"/>
                      <w:b w:val="0"/>
                      <w:bCs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执行情况</w:t>
                  </w:r>
                </w:p>
              </w:tc>
              <w:tc>
                <w:tcPr>
                  <w:tcW w:w="5394" w:type="dxa"/>
                  <w:gridSpan w:val="5"/>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已完成架构可行性验证，分布式数据库设计方案确定，性能测试计划已制定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restart"/>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应急计划</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触发条件</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系统响应延迟超过 3 秒，或出现卡顿、无法访问等情况（尤其期末成绩查询高峰时段）</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人员</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应急响应团队（开发组长、测试工程师、运维工程师各 1 名）</w:t>
                  </w:r>
                </w:p>
              </w:tc>
              <w:tc>
                <w:tcPr>
                  <w:tcW w:w="855"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负责人</w:t>
                  </w:r>
                </w:p>
              </w:tc>
              <w:tc>
                <w:tcPr>
                  <w:tcW w:w="854"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运维工程师：赵六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内容</w:t>
                  </w:r>
                </w:p>
              </w:tc>
              <w:tc>
                <w:tcPr>
                  <w:tcW w:w="5394" w:type="dxa"/>
                  <w:gridSpan w:val="5"/>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1. 启动应急团队，暂停非核心功能；2. 启用备用服务器分担压力；3. 实时监控并优化性能</w:t>
                  </w:r>
                </w:p>
                <w:p>
                  <w:pPr>
                    <w:rPr>
                      <w:rFonts w:hint="eastAsia" w:ascii="宋体" w:hAnsi="宋体" w:eastAsia="宋体" w:cs="宋体"/>
                      <w:b w:val="0"/>
                      <w:bCs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执行情况</w:t>
                  </w:r>
                </w:p>
              </w:tc>
              <w:tc>
                <w:tcPr>
                  <w:tcW w:w="5394" w:type="dxa"/>
                  <w:gridSpan w:val="5"/>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未触发，性能测试中未出现该类问题</w:t>
                  </w:r>
                </w:p>
              </w:tc>
            </w:tr>
          </w:tbl>
          <w:p>
            <w:pPr>
              <w:rPr>
                <w:rFonts w:hint="eastAsia" w:ascii="宋体" w:hAnsi="宋体" w:eastAsia="宋体" w:cs="宋体"/>
                <w:b w:val="0"/>
                <w:bCs w:val="0"/>
                <w:sz w:val="21"/>
                <w:szCs w:val="21"/>
              </w:rPr>
            </w:pPr>
          </w:p>
          <w:p>
            <w:pPr>
              <w:rPr>
                <w:rFonts w:hint="eastAsia" w:ascii="宋体" w:hAnsi="宋体" w:eastAsia="宋体" w:cs="宋体"/>
                <w:b w:val="0"/>
                <w:bCs w:val="0"/>
                <w:sz w:val="21"/>
                <w:szCs w:val="21"/>
              </w:rPr>
            </w:pPr>
          </w:p>
          <w:p>
            <w:pPr>
              <w:rPr>
                <w:rFonts w:hint="eastAsia" w:ascii="宋体" w:hAnsi="宋体" w:eastAsia="宋体" w:cs="宋体"/>
                <w:b w:val="0"/>
                <w:bCs w:val="0"/>
                <w:sz w:val="21"/>
                <w:szCs w:val="21"/>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2"/>
              <w:gridCol w:w="1276"/>
              <w:gridCol w:w="1276"/>
              <w:gridCol w:w="992"/>
              <w:gridCol w:w="1417"/>
              <w:gridCol w:w="855"/>
              <w:gridCol w:w="8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风险ID</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color w:val="000000"/>
                      <w:spacing w:val="0"/>
                      <w:sz w:val="21"/>
                      <w:szCs w:val="21"/>
                      <w:shd w:val="clear" w:fill="F2F2F2"/>
                    </w:rPr>
                    <w:t>RISK-003</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风险类别</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color w:val="000000"/>
                      <w:spacing w:val="0"/>
                      <w:sz w:val="21"/>
                      <w:szCs w:val="21"/>
                      <w:shd w:val="clear" w:fill="F2F2F2"/>
                    </w:rPr>
                    <w:t>团队风险</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风险状态</w:t>
                  </w:r>
                </w:p>
              </w:tc>
              <w:tc>
                <w:tcPr>
                  <w:tcW w:w="1709" w:type="dxa"/>
                  <w:gridSpan w:val="2"/>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color w:val="000000"/>
                      <w:spacing w:val="0"/>
                      <w:sz w:val="21"/>
                      <w:szCs w:val="21"/>
                      <w:shd w:val="clear" w:fill="F2F2F2"/>
                    </w:rPr>
                    <w:t>已规避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识别时间</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2025-12-03</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可能性（P）</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2（1-5 分）</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影响程度（I）</w:t>
                  </w:r>
                </w:p>
              </w:tc>
              <w:tc>
                <w:tcPr>
                  <w:tcW w:w="1709" w:type="dxa"/>
                  <w:gridSpan w:val="2"/>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4（1-5 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风险强度（RE）</w:t>
                  </w:r>
                </w:p>
              </w:tc>
              <w:tc>
                <w:tcPr>
                  <w:tcW w:w="3544" w:type="dxa"/>
                  <w:gridSpan w:val="3"/>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8</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优先级</w:t>
                  </w:r>
                </w:p>
              </w:tc>
              <w:tc>
                <w:tcPr>
                  <w:tcW w:w="1709" w:type="dxa"/>
                  <w:gridSpan w:val="2"/>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风险描述</w:t>
                  </w:r>
                </w:p>
              </w:tc>
              <w:tc>
                <w:tcPr>
                  <w:tcW w:w="6670" w:type="dxa"/>
                  <w:gridSpan w:val="6"/>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核心开发工程师因个人原因临时离职，导致关键模块开发中断，项目进度延误</w:t>
                  </w:r>
                </w:p>
                <w:p>
                  <w:pPr>
                    <w:rPr>
                      <w:rFonts w:hint="eastAsia" w:ascii="宋体" w:hAnsi="宋体" w:eastAsia="宋体" w:cs="宋体"/>
                      <w:b w:val="0"/>
                      <w:bCs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restart"/>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规避/减缓计划</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时间</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项目启动后持续执行；知识培训每月 1 次（2025-12-20 起）；备用人员培训（2025-12-15 至 2025-12-25）</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人员</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全体开发人员、项目经理、学校就业指导中心老师 1 名、备用实习生 2 名</w:t>
                  </w:r>
                </w:p>
              </w:tc>
              <w:tc>
                <w:tcPr>
                  <w:tcW w:w="855"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负责人</w:t>
                  </w:r>
                </w:p>
              </w:tc>
              <w:tc>
                <w:tcPr>
                  <w:tcW w:w="854"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项目经理：张三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内容</w:t>
                  </w:r>
                </w:p>
              </w:tc>
              <w:tc>
                <w:tcPr>
                  <w:tcW w:w="5394" w:type="dxa"/>
                  <w:gridSpan w:val="5"/>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1. 建立知识共享机制，核心文档同步平台；2. 核心模块双人协作开发；3. 预留备用开发人员并提前培训</w:t>
                  </w:r>
                </w:p>
                <w:p>
                  <w:pPr>
                    <w:rPr>
                      <w:rFonts w:hint="eastAsia" w:ascii="宋体" w:hAnsi="宋体" w:eastAsia="宋体" w:cs="宋体"/>
                      <w:b w:val="0"/>
                      <w:bCs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执行情况</w:t>
                  </w:r>
                </w:p>
              </w:tc>
              <w:tc>
                <w:tcPr>
                  <w:tcW w:w="5394" w:type="dxa"/>
                  <w:gridSpan w:val="5"/>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已建立知识共享平台，核心模块均实现双人协作，2 名备用实习生已完成基础培训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restart"/>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应急计划</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触发条件</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核心开发工程师提出离职并确认离职时间</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人员</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项目经理、原模块协作开发工程师、备用开发人员、离职人员（若配合）</w:t>
                  </w:r>
                </w:p>
              </w:tc>
              <w:tc>
                <w:tcPr>
                  <w:tcW w:w="855"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负责人</w:t>
                  </w:r>
                </w:p>
              </w:tc>
              <w:tc>
                <w:tcPr>
                  <w:tcW w:w="854"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开发组长：李四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内容</w:t>
                  </w:r>
                </w:p>
              </w:tc>
              <w:tc>
                <w:tcPr>
                  <w:tcW w:w="5394" w:type="dxa"/>
                  <w:gridSpan w:val="5"/>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1. 启用备用人员，1-2 个工作日内完成交接；2. 调整进度计划，优先保障其他模块；3. 争取离职人员配合短期交接</w:t>
                  </w:r>
                </w:p>
                <w:p>
                  <w:pPr>
                    <w:rPr>
                      <w:rFonts w:hint="eastAsia" w:ascii="宋体" w:hAnsi="宋体" w:eastAsia="宋体" w:cs="宋体"/>
                      <w:b w:val="0"/>
                      <w:bCs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执行情况</w:t>
                  </w:r>
                </w:p>
              </w:tc>
              <w:tc>
                <w:tcPr>
                  <w:tcW w:w="5394" w:type="dxa"/>
                  <w:gridSpan w:val="5"/>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未触发，团队成员稳定</w:t>
                  </w:r>
                </w:p>
              </w:tc>
            </w:tr>
          </w:tbl>
          <w:p>
            <w:pPr>
              <w:rPr>
                <w:rFonts w:hint="eastAsia" w:ascii="宋体" w:hAnsi="宋体" w:eastAsia="宋体" w:cs="宋体"/>
                <w:b w:val="0"/>
                <w:bCs w:val="0"/>
                <w:sz w:val="21"/>
                <w:szCs w:val="21"/>
              </w:rPr>
            </w:pPr>
          </w:p>
          <w:p>
            <w:pPr>
              <w:rPr>
                <w:rFonts w:hint="eastAsia" w:ascii="宋体" w:hAnsi="宋体" w:eastAsia="宋体" w:cs="宋体"/>
                <w:b w:val="0"/>
                <w:bCs w:val="0"/>
                <w:sz w:val="21"/>
                <w:szCs w:val="21"/>
              </w:rPr>
            </w:pPr>
          </w:p>
          <w:p>
            <w:pPr>
              <w:rPr>
                <w:rFonts w:hint="eastAsia" w:ascii="宋体" w:hAnsi="宋体" w:eastAsia="宋体" w:cs="宋体"/>
                <w:b w:val="0"/>
                <w:bCs w:val="0"/>
                <w:sz w:val="21"/>
                <w:szCs w:val="21"/>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2"/>
              <w:gridCol w:w="1276"/>
              <w:gridCol w:w="1276"/>
              <w:gridCol w:w="992"/>
              <w:gridCol w:w="1417"/>
              <w:gridCol w:w="855"/>
              <w:gridCol w:w="8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风险ID</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color w:val="000000"/>
                      <w:spacing w:val="0"/>
                      <w:sz w:val="21"/>
                      <w:szCs w:val="21"/>
                      <w:shd w:val="clear" w:fill="F2F2F2"/>
                    </w:rPr>
                    <w:t>RISK-004</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风险类别</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color w:val="000000"/>
                      <w:spacing w:val="0"/>
                      <w:sz w:val="21"/>
                      <w:szCs w:val="21"/>
                      <w:shd w:val="clear" w:fill="F2F2F2"/>
                    </w:rPr>
                    <w:t>开发环境风险</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风险状态</w:t>
                  </w:r>
                </w:p>
              </w:tc>
              <w:tc>
                <w:tcPr>
                  <w:tcW w:w="1709" w:type="dxa"/>
                  <w:gridSpan w:val="2"/>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color w:val="000000"/>
                      <w:spacing w:val="0"/>
                      <w:sz w:val="21"/>
                      <w:szCs w:val="21"/>
                      <w:shd w:val="clear" w:fill="F2F2F2"/>
                    </w:rPr>
                    <w:t>已缓解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识别时间</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2025-12-04</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可能性（P）</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3（1-5 分）</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影响程度（I）</w:t>
                  </w:r>
                </w:p>
              </w:tc>
              <w:tc>
                <w:tcPr>
                  <w:tcW w:w="1709" w:type="dxa"/>
                  <w:gridSpan w:val="2"/>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3（1-5 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风险强度（RE）</w:t>
                  </w:r>
                </w:p>
              </w:tc>
              <w:tc>
                <w:tcPr>
                  <w:tcW w:w="3544" w:type="dxa"/>
                  <w:gridSpan w:val="3"/>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9</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优先级</w:t>
                  </w:r>
                </w:p>
              </w:tc>
              <w:tc>
                <w:tcPr>
                  <w:tcW w:w="1709" w:type="dxa"/>
                  <w:gridSpan w:val="2"/>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风险描述</w:t>
                  </w:r>
                </w:p>
              </w:tc>
              <w:tc>
                <w:tcPr>
                  <w:tcW w:w="6670" w:type="dxa"/>
                  <w:gridSpan w:val="6"/>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开发过程中，开发环境与测试 / 生产环境存在配置差异，导致模块在开发环境正常运行，部署到测试 / 生产环境后出现兼容性问题，增加调试成本与时间</w:t>
                  </w:r>
                </w:p>
                <w:p>
                  <w:pPr>
                    <w:rPr>
                      <w:rFonts w:hint="eastAsia" w:ascii="宋体" w:hAnsi="宋体" w:eastAsia="宋体" w:cs="宋体"/>
                      <w:b w:val="0"/>
                      <w:bCs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restart"/>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规避/减缓计划</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时间</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开发启动前完成环境搭建（2025-12-10 至 2025-12-15）；团队学习（2025-12-16）；预部署测试在各模块开发完成后 1 个工作日内进行</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人员</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运维工程师 2 名、全体开发人员、测试工程师 2 名</w:t>
                  </w:r>
                </w:p>
              </w:tc>
              <w:tc>
                <w:tcPr>
                  <w:tcW w:w="855"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负责人</w:t>
                  </w:r>
                </w:p>
              </w:tc>
              <w:tc>
                <w:tcPr>
                  <w:tcW w:w="854"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运维工程师：赵六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内容</w:t>
                  </w:r>
                </w:p>
              </w:tc>
              <w:tc>
                <w:tcPr>
                  <w:tcW w:w="5394" w:type="dxa"/>
                  <w:gridSpan w:val="5"/>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1. 统一搭建标准化环境，形成配置手册；2. 开发前组织团队学习配置要求；3. 模块部署前在模拟测试环境预测试</w:t>
                  </w:r>
                </w:p>
                <w:p>
                  <w:pPr>
                    <w:rPr>
                      <w:rFonts w:hint="eastAsia" w:ascii="宋体" w:hAnsi="宋体" w:eastAsia="宋体" w:cs="宋体"/>
                      <w:b w:val="0"/>
                      <w:bCs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执行情况</w:t>
                  </w:r>
                </w:p>
              </w:tc>
              <w:tc>
                <w:tcPr>
                  <w:tcW w:w="5394" w:type="dxa"/>
                  <w:gridSpan w:val="5"/>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已完成标准化环境搭建，输出环境配置手册，团队已完成相关培训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restart"/>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应急计划</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触发条件</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模块部署到测试 / 生产环境后出现运行异常、功能无法实现等兼容性问题</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人员</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兼容性问题排查小组（开发工程师 2 名、运维工程师 1 名、测试工程师 1 名）</w:t>
                  </w:r>
                </w:p>
              </w:tc>
              <w:tc>
                <w:tcPr>
                  <w:tcW w:w="855"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负责人</w:t>
                  </w:r>
                </w:p>
              </w:tc>
              <w:tc>
                <w:tcPr>
                  <w:tcW w:w="854"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开发组长：李四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内容</w:t>
                  </w:r>
                </w:p>
              </w:tc>
              <w:tc>
                <w:tcPr>
                  <w:tcW w:w="5394" w:type="dxa"/>
                  <w:gridSpan w:val="5"/>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1. 成立排查小组，对比环境配置定位问题；2. 开发改代码或运维调环境；3. 重新部署测试</w:t>
                  </w:r>
                </w:p>
                <w:p>
                  <w:pPr>
                    <w:rPr>
                      <w:rFonts w:hint="eastAsia" w:ascii="宋体" w:hAnsi="宋体" w:eastAsia="宋体" w:cs="宋体"/>
                      <w:b w:val="0"/>
                      <w:bCs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执行情况</w:t>
                  </w:r>
                </w:p>
              </w:tc>
              <w:tc>
                <w:tcPr>
                  <w:tcW w:w="5394" w:type="dxa"/>
                  <w:gridSpan w:val="5"/>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触发 1 次（学生信息管理模块部署测试环境报错），已通过调整环境配置解决，执行正常</w:t>
                  </w:r>
                </w:p>
              </w:tc>
            </w:tr>
          </w:tbl>
          <w:p>
            <w:pPr>
              <w:rPr>
                <w:rFonts w:hint="eastAsia" w:ascii="宋体" w:hAnsi="宋体" w:eastAsia="宋体" w:cs="宋体"/>
                <w:b w:val="0"/>
                <w:bCs w:val="0"/>
                <w:sz w:val="21"/>
                <w:szCs w:val="21"/>
              </w:rPr>
            </w:pPr>
          </w:p>
          <w:p>
            <w:pPr>
              <w:rPr>
                <w:rFonts w:hint="eastAsia" w:ascii="宋体" w:hAnsi="宋体" w:eastAsia="宋体" w:cs="宋体"/>
                <w:b w:val="0"/>
                <w:bCs w:val="0"/>
                <w:sz w:val="21"/>
                <w:szCs w:val="21"/>
              </w:rPr>
            </w:pPr>
          </w:p>
          <w:p>
            <w:pPr>
              <w:rPr>
                <w:rFonts w:hint="eastAsia" w:ascii="宋体" w:hAnsi="宋体" w:eastAsia="宋体" w:cs="宋体"/>
                <w:b w:val="0"/>
                <w:bCs w:val="0"/>
                <w:sz w:val="21"/>
                <w:szCs w:val="21"/>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2"/>
              <w:gridCol w:w="1276"/>
              <w:gridCol w:w="1276"/>
              <w:gridCol w:w="992"/>
              <w:gridCol w:w="1417"/>
              <w:gridCol w:w="855"/>
              <w:gridCol w:w="8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风险ID</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color w:val="000000"/>
                      <w:spacing w:val="0"/>
                      <w:sz w:val="21"/>
                      <w:szCs w:val="21"/>
                      <w:shd w:val="clear" w:fill="F2F2F2"/>
                    </w:rPr>
                    <w:t>RISK-005</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风险类别</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color w:val="000000"/>
                      <w:spacing w:val="0"/>
                      <w:sz w:val="21"/>
                      <w:szCs w:val="21"/>
                      <w:shd w:val="clear" w:fill="F2F2F2"/>
                    </w:rPr>
                    <w:t>产品规模风险</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风险状态</w:t>
                  </w:r>
                </w:p>
              </w:tc>
              <w:tc>
                <w:tcPr>
                  <w:tcW w:w="1709" w:type="dxa"/>
                  <w:gridSpan w:val="2"/>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color w:val="000000"/>
                      <w:spacing w:val="0"/>
                      <w:sz w:val="21"/>
                      <w:szCs w:val="21"/>
                      <w:shd w:val="clear" w:fill="F2F2F2"/>
                    </w:rPr>
                    <w:t>未发生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识别时间</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2025-12-05</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可能性（P）</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2（1-5 分）</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影响程度（I）</w:t>
                  </w:r>
                </w:p>
              </w:tc>
              <w:tc>
                <w:tcPr>
                  <w:tcW w:w="1709" w:type="dxa"/>
                  <w:gridSpan w:val="2"/>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5（1-5 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风险强度（RE）</w:t>
                  </w:r>
                </w:p>
              </w:tc>
              <w:tc>
                <w:tcPr>
                  <w:tcW w:w="3544" w:type="dxa"/>
                  <w:gridSpan w:val="3"/>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10</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优先级</w:t>
                  </w:r>
                </w:p>
              </w:tc>
              <w:tc>
                <w:tcPr>
                  <w:tcW w:w="1709" w:type="dxa"/>
                  <w:gridSpan w:val="2"/>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风险描述</w:t>
                  </w:r>
                </w:p>
              </w:tc>
              <w:tc>
                <w:tcPr>
                  <w:tcW w:w="6670" w:type="dxa"/>
                  <w:gridSpan w:val="6"/>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初期需求调研不充分，未充分考虑高校教务管理的复杂性（如跨院系课程协调、特殊专业成绩核算规则等），导致开发后期发现功能遗漏，需新增大量开发任务，超出原计划工作量与工期</w:t>
                  </w:r>
                </w:p>
                <w:p>
                  <w:pPr>
                    <w:rPr>
                      <w:rFonts w:hint="eastAsia" w:ascii="宋体" w:hAnsi="宋体" w:eastAsia="宋体" w:cs="宋体"/>
                      <w:b w:val="0"/>
                      <w:bCs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restart"/>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规避/减缓计划</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时间</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需求调研阶段（2025-12-01 至 2025-12-10）；专家评审（2025-12-11）；需求拆分（2025-12-12 至 2025-12-15）</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人员</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需求分析师 2 名、项目经理 1 名、各院系教务人员代表 3 名、教务管理专家 2 名</w:t>
                  </w:r>
                </w:p>
              </w:tc>
              <w:tc>
                <w:tcPr>
                  <w:tcW w:w="855"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负责人</w:t>
                  </w:r>
                </w:p>
              </w:tc>
              <w:tc>
                <w:tcPr>
                  <w:tcW w:w="854"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需求分析师组长：孙七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内容</w:t>
                  </w:r>
                </w:p>
              </w:tc>
              <w:tc>
                <w:tcPr>
                  <w:tcW w:w="5394" w:type="dxa"/>
                  <w:gridSpan w:val="5"/>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1. 扩大调研范围，覆盖不同院系 / 专业教务人员；2. 邀请专家评审需求说明书；3. 按模块拆分需求明确边界</w:t>
                  </w:r>
                </w:p>
                <w:p>
                  <w:pPr>
                    <w:rPr>
                      <w:rFonts w:hint="eastAsia" w:ascii="宋体" w:hAnsi="宋体" w:eastAsia="宋体" w:cs="宋体"/>
                      <w:b w:val="0"/>
                      <w:bCs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执行情况</w:t>
                  </w:r>
                </w:p>
              </w:tc>
              <w:tc>
                <w:tcPr>
                  <w:tcW w:w="5394" w:type="dxa"/>
                  <w:gridSpan w:val="5"/>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已完成多院系调研，邀请专家完成需求评审，补充 3 项特殊专业需求，已纳入需求规格说明书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restart"/>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应急计划</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触发条件</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开发后期（测试阶段）发现关键功能遗漏，且影响系统核心使用场景</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人员</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需求分析师 2 名、项目经理 1 名、开发组长 1 名、用户代表 2 名</w:t>
                  </w:r>
                </w:p>
              </w:tc>
              <w:tc>
                <w:tcPr>
                  <w:tcW w:w="855"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负责人</w:t>
                  </w:r>
                </w:p>
              </w:tc>
              <w:tc>
                <w:tcPr>
                  <w:tcW w:w="854"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项目经理：张三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内容</w:t>
                  </w:r>
                </w:p>
              </w:tc>
              <w:tc>
                <w:tcPr>
                  <w:tcW w:w="5394" w:type="dxa"/>
                  <w:gridSpan w:val="5"/>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1. 确认新增需求并划分优先级；2. 评估工作量，小需求用缓冲工期，大需求协商二期开发；3. 调整计划分配资源</w:t>
                  </w:r>
                </w:p>
                <w:p>
                  <w:pPr>
                    <w:rPr>
                      <w:rFonts w:hint="eastAsia" w:ascii="宋体" w:hAnsi="宋体" w:eastAsia="宋体" w:cs="宋体"/>
                      <w:b w:val="0"/>
                      <w:bCs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执行情况</w:t>
                  </w:r>
                </w:p>
              </w:tc>
              <w:tc>
                <w:tcPr>
                  <w:tcW w:w="5394" w:type="dxa"/>
                  <w:gridSpan w:val="5"/>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未触发，需求评审阶段已补充关键遗漏功能</w:t>
                  </w:r>
                </w:p>
              </w:tc>
            </w:tr>
          </w:tbl>
          <w:p>
            <w:pPr>
              <w:rPr>
                <w:rFonts w:hint="eastAsia" w:ascii="宋体" w:hAnsi="宋体" w:eastAsia="宋体" w:cs="宋体"/>
                <w:b w:val="0"/>
                <w:bCs w:val="0"/>
                <w:sz w:val="21"/>
                <w:szCs w:val="21"/>
              </w:rPr>
            </w:pPr>
          </w:p>
          <w:p>
            <w:pPr>
              <w:rPr>
                <w:rFonts w:hint="eastAsia" w:ascii="宋体" w:hAnsi="宋体" w:eastAsia="宋体" w:cs="宋体"/>
                <w:b w:val="0"/>
                <w:bCs w:val="0"/>
                <w:sz w:val="21"/>
                <w:szCs w:val="21"/>
              </w:rPr>
            </w:pPr>
          </w:p>
          <w:p>
            <w:pPr>
              <w:rPr>
                <w:rFonts w:hint="eastAsia" w:ascii="宋体" w:hAnsi="宋体" w:eastAsia="宋体" w:cs="宋体"/>
                <w:b w:val="0"/>
                <w:bCs w:val="0"/>
                <w:sz w:val="21"/>
                <w:szCs w:val="21"/>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2"/>
              <w:gridCol w:w="1276"/>
              <w:gridCol w:w="1276"/>
              <w:gridCol w:w="992"/>
              <w:gridCol w:w="1417"/>
              <w:gridCol w:w="855"/>
              <w:gridCol w:w="8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风险ID</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color w:val="000000"/>
                      <w:spacing w:val="0"/>
                      <w:sz w:val="21"/>
                      <w:szCs w:val="21"/>
                      <w:shd w:val="clear" w:fill="F2F2F2"/>
                    </w:rPr>
                    <w:t>RISK-006</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风险类别</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color w:val="000000"/>
                      <w:spacing w:val="0"/>
                      <w:sz w:val="21"/>
                      <w:szCs w:val="21"/>
                      <w:shd w:val="clear" w:fill="F2F2F2"/>
                    </w:rPr>
                    <w:t>商业影响风险</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风险状态</w:t>
                  </w:r>
                </w:p>
              </w:tc>
              <w:tc>
                <w:tcPr>
                  <w:tcW w:w="1709" w:type="dxa"/>
                  <w:gridSpan w:val="2"/>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color w:val="000000"/>
                      <w:spacing w:val="0"/>
                      <w:sz w:val="21"/>
                      <w:szCs w:val="21"/>
                      <w:shd w:val="clear" w:fill="F2F2F2"/>
                    </w:rPr>
                    <w:t>未发生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识别时间</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2025-12-06</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可能性（P）</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3（1-5 分）</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影响程度（I）</w:t>
                  </w:r>
                </w:p>
              </w:tc>
              <w:tc>
                <w:tcPr>
                  <w:tcW w:w="1709" w:type="dxa"/>
                  <w:gridSpan w:val="2"/>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5（1-5 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风险强度（RE）</w:t>
                  </w:r>
                </w:p>
              </w:tc>
              <w:tc>
                <w:tcPr>
                  <w:tcW w:w="3544" w:type="dxa"/>
                  <w:gridSpan w:val="3"/>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15</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优先级</w:t>
                  </w:r>
                </w:p>
              </w:tc>
              <w:tc>
                <w:tcPr>
                  <w:tcW w:w="1709" w:type="dxa"/>
                  <w:gridSpan w:val="2"/>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（高、中、低）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风险描述</w:t>
                  </w:r>
                </w:p>
              </w:tc>
              <w:tc>
                <w:tcPr>
                  <w:tcW w:w="6670" w:type="dxa"/>
                  <w:gridSpan w:val="6"/>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项目开发完成后，学校因经费调整或政策变化，暂缓系统上线部署，导致项目成果无法落地</w:t>
                  </w:r>
                </w:p>
                <w:p>
                  <w:pPr>
                    <w:rPr>
                      <w:rFonts w:hint="eastAsia" w:ascii="宋体" w:hAnsi="宋体" w:eastAsia="宋体" w:cs="宋体"/>
                      <w:b w:val="0"/>
                      <w:bCs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restart"/>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规避/减缓计划</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时间</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项目启动前（2025-11-25 至 2025-11-30）完成经费及政策确认；每季度末汇报（2026-03-31、2026-06-30 等）；分阶段交付方案制定（2025-12-15）</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人员</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项目经理 1 名、财务处代表 1 名、教务处代表 2 名、项目组核心成员 3 名</w:t>
                  </w:r>
                </w:p>
              </w:tc>
              <w:tc>
                <w:tcPr>
                  <w:tcW w:w="855"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负责人</w:t>
                  </w:r>
                </w:p>
              </w:tc>
              <w:tc>
                <w:tcPr>
                  <w:tcW w:w="854"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项目经理：张三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内容</w:t>
                  </w:r>
                </w:p>
              </w:tc>
              <w:tc>
                <w:tcPr>
                  <w:tcW w:w="5394" w:type="dxa"/>
                  <w:gridSpan w:val="5"/>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1. 启动阶段确认经费 / 政策支持并形成书面材料；2. 每季度汇报进展增强学校认可度；3. 制定分阶段交付方案</w:t>
                  </w:r>
                </w:p>
                <w:p>
                  <w:pPr>
                    <w:rPr>
                      <w:rFonts w:hint="eastAsia" w:ascii="宋体" w:hAnsi="宋体" w:eastAsia="宋体" w:cs="宋体"/>
                      <w:b w:val="0"/>
                      <w:bCs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执行情况</w:t>
                  </w:r>
                </w:p>
              </w:tc>
              <w:tc>
                <w:tcPr>
                  <w:tcW w:w="5394" w:type="dxa"/>
                  <w:gridSpan w:val="5"/>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已完成经费及政策支持文件确认，按季度提交进展报告，分阶段交付方案已制定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restart"/>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应急计划</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触发条件</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收到学校正式下发的系统上线暂缓通知</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人员</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项目经理、需求分析师、开发组长、财务处代表、教务处代表</w:t>
                  </w:r>
                </w:p>
              </w:tc>
              <w:tc>
                <w:tcPr>
                  <w:tcW w:w="855"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负责人</w:t>
                  </w:r>
                </w:p>
              </w:tc>
              <w:tc>
                <w:tcPr>
                  <w:tcW w:w="854"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项目经理：张三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内容</w:t>
                  </w:r>
                </w:p>
              </w:tc>
              <w:tc>
                <w:tcPr>
                  <w:tcW w:w="5394" w:type="dxa"/>
                  <w:gridSpan w:val="5"/>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1. 召开协商会了解暂缓原因；2. 经费问题申请专项经费或调范围，政策问题适配新政策或申请延期；3. 固化已开发成果</w:t>
                  </w:r>
                </w:p>
                <w:p>
                  <w:pPr>
                    <w:rPr>
                      <w:rFonts w:hint="eastAsia" w:ascii="宋体" w:hAnsi="宋体" w:eastAsia="宋体" w:cs="宋体"/>
                      <w:b w:val="0"/>
                      <w:bCs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执行情况</w:t>
                  </w:r>
                </w:p>
              </w:tc>
              <w:tc>
                <w:tcPr>
                  <w:tcW w:w="5394" w:type="dxa"/>
                  <w:gridSpan w:val="5"/>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未触发，项目进展与学校预期一致</w:t>
                  </w:r>
                </w:p>
              </w:tc>
            </w:tr>
          </w:tbl>
          <w:p>
            <w:pPr>
              <w:rPr>
                <w:rFonts w:hint="eastAsia" w:ascii="宋体" w:hAnsi="宋体" w:eastAsia="宋体" w:cs="宋体"/>
                <w:b w:val="0"/>
                <w:bCs w:val="0"/>
                <w:sz w:val="21"/>
                <w:szCs w:val="21"/>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2"/>
              <w:gridCol w:w="1276"/>
              <w:gridCol w:w="1276"/>
              <w:gridCol w:w="992"/>
              <w:gridCol w:w="1417"/>
              <w:gridCol w:w="855"/>
              <w:gridCol w:w="8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风险ID</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color w:val="000000"/>
                      <w:spacing w:val="0"/>
                      <w:sz w:val="21"/>
                      <w:szCs w:val="21"/>
                      <w:shd w:val="clear" w:fill="F2F2F2"/>
                    </w:rPr>
                    <w:t>RISK-007</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风险类别</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color w:val="000000"/>
                      <w:spacing w:val="0"/>
                      <w:sz w:val="21"/>
                      <w:szCs w:val="21"/>
                      <w:shd w:val="clear" w:fill="F2F2F2"/>
                    </w:rPr>
                    <w:t>过程风险</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风险状态</w:t>
                  </w:r>
                </w:p>
              </w:tc>
              <w:tc>
                <w:tcPr>
                  <w:tcW w:w="1709" w:type="dxa"/>
                  <w:gridSpan w:val="2"/>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color w:val="000000"/>
                      <w:spacing w:val="0"/>
                      <w:sz w:val="21"/>
                      <w:szCs w:val="21"/>
                      <w:shd w:val="clear" w:fill="F2F2F2"/>
                    </w:rPr>
                    <w:t>已缓解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识别时间</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2025-12-07</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可能性（P）</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4（1-5 分）</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影响程度（I）</w:t>
                  </w:r>
                </w:p>
              </w:tc>
              <w:tc>
                <w:tcPr>
                  <w:tcW w:w="1709" w:type="dxa"/>
                  <w:gridSpan w:val="2"/>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4（1-5 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风险强度（RE）</w:t>
                  </w:r>
                </w:p>
              </w:tc>
              <w:tc>
                <w:tcPr>
                  <w:tcW w:w="3544" w:type="dxa"/>
                  <w:gridSpan w:val="3"/>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16</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优先级</w:t>
                  </w:r>
                </w:p>
              </w:tc>
              <w:tc>
                <w:tcPr>
                  <w:tcW w:w="1709" w:type="dxa"/>
                  <w:gridSpan w:val="2"/>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风险描述</w:t>
                  </w:r>
                </w:p>
              </w:tc>
              <w:tc>
                <w:tcPr>
                  <w:tcW w:w="6670" w:type="dxa"/>
                  <w:gridSpan w:val="6"/>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测试用例设计不全面，未覆盖教务系统核心场景（如跨学期成绩统计、毕业资格审核），上线后出现大量隐性 bug</w:t>
                  </w:r>
                </w:p>
                <w:p>
                  <w:pPr>
                    <w:rPr>
                      <w:rFonts w:hint="eastAsia" w:ascii="宋体" w:hAnsi="宋体" w:eastAsia="宋体" w:cs="宋体"/>
                      <w:b w:val="0"/>
                      <w:bCs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restart"/>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规避/减缓计划</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时间</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测试用例设计阶段（2025-12-20 至 2025-12-30）；需求分析师及教务人员评审（2026-01-01）；项目组全员评审（2026-01-02）</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人员</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测试工程师 3 名、需求分析师 2 名、教务人员代表 2 名、项目组全员</w:t>
                  </w:r>
                </w:p>
              </w:tc>
              <w:tc>
                <w:tcPr>
                  <w:tcW w:w="855"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负责人</w:t>
                  </w:r>
                </w:p>
              </w:tc>
              <w:tc>
                <w:tcPr>
                  <w:tcW w:w="854"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测试组长：周八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内容</w:t>
                  </w:r>
                </w:p>
              </w:tc>
              <w:tc>
                <w:tcPr>
                  <w:tcW w:w="5394" w:type="dxa"/>
                  <w:gridSpan w:val="5"/>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1. 测试用例设计阶段邀请用户评审；2. 参考同类系统补充特殊场景测试点；3. 执行前开展全员评审</w:t>
                  </w:r>
                </w:p>
                <w:p>
                  <w:pPr>
                    <w:rPr>
                      <w:rFonts w:hint="eastAsia" w:ascii="宋体" w:hAnsi="宋体" w:eastAsia="宋体" w:cs="宋体"/>
                      <w:b w:val="0"/>
                      <w:bCs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执行情况</w:t>
                  </w:r>
                </w:p>
              </w:tc>
              <w:tc>
                <w:tcPr>
                  <w:tcW w:w="5394" w:type="dxa"/>
                  <w:gridSpan w:val="5"/>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已完成测试用例设计，邀请教务人员参与评审，补充 12 个核心场景测试点，通过项目组全员评审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restart"/>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应急计划</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触发条件</w:t>
                  </w: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系统上线后，用户反馈或测试监控发现隐性 bug（未在测试阶段覆盖）</w:t>
                  </w:r>
                </w:p>
              </w:tc>
              <w:tc>
                <w:tcPr>
                  <w:tcW w:w="992"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人员</w:t>
                  </w:r>
                </w:p>
              </w:tc>
              <w:tc>
                <w:tcPr>
                  <w:tcW w:w="1417"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测试工程师 2 名、开发工程师 2 名、需求分析师 1 名、用户沟通专员 1 名</w:t>
                  </w:r>
                </w:p>
              </w:tc>
              <w:tc>
                <w:tcPr>
                  <w:tcW w:w="855"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负责人</w:t>
                  </w:r>
                </w:p>
              </w:tc>
              <w:tc>
                <w:tcPr>
                  <w:tcW w:w="854" w:type="dxa"/>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测试组长：周八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内容</w:t>
                  </w:r>
                </w:p>
              </w:tc>
              <w:tc>
                <w:tcPr>
                  <w:tcW w:w="5394" w:type="dxa"/>
                  <w:gridSpan w:val="5"/>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1. 复现 bug 并定位范围；2. 优先修复核心功能 bug 并发布补丁；3. 补充测试用例回归测试；4. 向用户沟通进度</w:t>
                  </w:r>
                </w:p>
                <w:p>
                  <w:pPr>
                    <w:rPr>
                      <w:rFonts w:hint="eastAsia" w:ascii="宋体" w:hAnsi="宋体" w:eastAsia="宋体" w:cs="宋体"/>
                      <w:b w:val="0"/>
                      <w:bCs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2" w:type="dxa"/>
                  <w:vMerge w:val="continue"/>
                  <w:vAlign w:val="center"/>
                </w:tcPr>
                <w:p>
                  <w:pPr>
                    <w:rPr>
                      <w:rFonts w:hint="eastAsia" w:ascii="宋体" w:hAnsi="宋体" w:eastAsia="宋体" w:cs="宋体"/>
                      <w:b w:val="0"/>
                      <w:bCs w:val="0"/>
                      <w:sz w:val="21"/>
                      <w:szCs w:val="21"/>
                    </w:rPr>
                  </w:pPr>
                </w:p>
              </w:tc>
              <w:tc>
                <w:tcPr>
                  <w:tcW w:w="1276" w:type="dxa"/>
                  <w:vAlign w:val="center"/>
                </w:tcPr>
                <w:p>
                  <w:pPr>
                    <w:rPr>
                      <w:rFonts w:hint="eastAsia" w:ascii="宋体" w:hAnsi="宋体" w:eastAsia="宋体" w:cs="宋体"/>
                      <w:b w:val="0"/>
                      <w:bCs w:val="0"/>
                      <w:sz w:val="21"/>
                      <w:szCs w:val="21"/>
                    </w:rPr>
                  </w:pPr>
                  <w:r>
                    <w:rPr>
                      <w:rFonts w:hint="eastAsia" w:ascii="宋体" w:hAnsi="宋体" w:eastAsia="宋体" w:cs="宋体"/>
                      <w:b w:val="0"/>
                      <w:bCs w:val="0"/>
                      <w:sz w:val="21"/>
                      <w:szCs w:val="21"/>
                    </w:rPr>
                    <w:t>执行情况</w:t>
                  </w:r>
                </w:p>
              </w:tc>
              <w:tc>
                <w:tcPr>
                  <w:tcW w:w="5394" w:type="dxa"/>
                  <w:gridSpan w:val="5"/>
                  <w:vAlign w:val="center"/>
                </w:tcPr>
                <w:p>
                  <w:pPr>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shd w:val="clear" w:fill="FFFFFF"/>
                    </w:rPr>
                    <w:t>未触发，上线前测试已覆盖核心场景</w:t>
                  </w:r>
                </w:p>
              </w:tc>
            </w:tr>
          </w:tbl>
          <w:p>
            <w:pPr>
              <w:rPr>
                <w:rFonts w:hint="eastAsia" w:ascii="宋体" w:hAnsi="宋体"/>
                <w:sz w:val="24"/>
              </w:rPr>
            </w:pPr>
          </w:p>
          <w:p>
            <w:pPr>
              <w:rPr>
                <w:rFonts w:hint="eastAsia" w:ascii="宋体" w:hAnsi="宋体"/>
                <w:sz w:val="24"/>
              </w:rPr>
            </w:pPr>
          </w:p>
          <w:p>
            <w:pPr>
              <w:rPr>
                <w:rFonts w:hint="eastAsia" w:ascii="宋体" w:hAnsi="宋体"/>
                <w:sz w:val="24"/>
              </w:rPr>
            </w:pPr>
          </w:p>
          <w:p>
            <w:pPr>
              <w:rPr>
                <w:rFonts w:hint="eastAsia" w:ascii="宋体" w:hAnsi="宋体"/>
                <w:sz w:val="24"/>
              </w:rPr>
            </w:pPr>
          </w:p>
          <w:p>
            <w:pPr>
              <w:rPr>
                <w:rFonts w:hint="eastAsia" w:ascii="宋体" w:hAnsi="宋体"/>
                <w:sz w:val="24"/>
              </w:rPr>
            </w:pPr>
          </w:p>
          <w:p>
            <w:pPr>
              <w:rPr>
                <w:rFonts w:hint="eastAsia" w:ascii="宋体" w:hAnsi="宋体"/>
                <w:b/>
                <w:bCs/>
                <w:sz w:val="24"/>
              </w:rPr>
            </w:pPr>
            <w:r>
              <w:rPr>
                <w:rFonts w:hint="eastAsia" w:ascii="宋体" w:hAnsi="宋体"/>
                <w:b/>
                <w:bCs/>
                <w:sz w:val="24"/>
              </w:rPr>
              <w:t>四</w:t>
            </w:r>
            <w:r>
              <w:rPr>
                <w:rFonts w:hint="eastAsia"/>
                <w:b/>
                <w:bCs/>
                <w:sz w:val="24"/>
              </w:rPr>
              <w:t>、实验心得</w:t>
            </w:r>
          </w:p>
          <w:p>
            <w:pPr>
              <w:rPr>
                <w:rFonts w:hint="eastAsia" w:ascii="宋体" w:hAnsi="宋体"/>
                <w:b/>
                <w:bCs/>
                <w:sz w:val="24"/>
              </w:rPr>
            </w:pPr>
          </w:p>
          <w:p>
            <w:pPr>
              <w:rPr>
                <w:rFonts w:hint="eastAsia" w:ascii="宋体" w:hAnsi="宋体"/>
                <w:b w:val="0"/>
                <w:bCs w:val="0"/>
                <w:sz w:val="24"/>
              </w:rPr>
            </w:pPr>
            <w:bookmarkStart w:id="0" w:name="_GoBack"/>
            <w:r>
              <w:rPr>
                <w:rFonts w:hint="eastAsia" w:ascii="宋体" w:hAnsi="宋体"/>
                <w:b w:val="0"/>
                <w:bCs w:val="0"/>
                <w:sz w:val="24"/>
                <w:lang w:val="en-US" w:eastAsia="zh-CN"/>
              </w:rPr>
              <w:t>通过本次高校教务管理信息系统风险管理实验，我不仅掌握了 “识别 - 分析 - 应对 - 追踪” 的风险管理全流程，更对软件项目中 “风险前置管控” 的价值有了深刻体会，主要收获如下：</w:t>
            </w:r>
          </w:p>
          <w:p>
            <w:pPr>
              <w:rPr>
                <w:rFonts w:hint="eastAsia" w:ascii="宋体" w:hAnsi="宋体"/>
                <w:b w:val="0"/>
                <w:bCs w:val="0"/>
                <w:sz w:val="24"/>
              </w:rPr>
            </w:pPr>
            <w:r>
              <w:rPr>
                <w:rFonts w:hint="eastAsia" w:ascii="宋体" w:hAnsi="宋体"/>
                <w:b w:val="0"/>
                <w:bCs w:val="0"/>
                <w:sz w:val="24"/>
                <w:lang w:val="en-US" w:eastAsia="zh-CN"/>
              </w:rPr>
              <w:t>首先，风险登记册是风险管理的 “核心载体”，模板的规范程度直接影响管理效率。最初我对风险的记录仅停留在 “问题描述” 层面，缺乏后续的应对与追踪模块，导致风险出现时只能临时慌乱处理。而使用本次标准化的风险登记册模板后，从风险的可能性、影响程度评估，到规避计划的时间 / 人员 / 负责人落地，再到应急方案的触发条件与执行步骤，每一项都有明确的对应项，让风险管理从 “零散应对” 变成了 “系统闭环”。</w:t>
            </w:r>
          </w:p>
          <w:p>
            <w:pPr>
              <w:rPr>
                <w:rFonts w:hint="eastAsia" w:ascii="宋体" w:hAnsi="宋体"/>
                <w:b w:val="0"/>
                <w:bCs w:val="0"/>
                <w:sz w:val="24"/>
              </w:rPr>
            </w:pPr>
            <w:r>
              <w:rPr>
                <w:rFonts w:hint="eastAsia" w:ascii="宋体" w:hAnsi="宋体"/>
                <w:b w:val="0"/>
                <w:bCs w:val="0"/>
                <w:sz w:val="24"/>
                <w:lang w:val="en-US" w:eastAsia="zh-CN"/>
              </w:rPr>
              <w:t>其次，风险识别不能只依赖 “经验直觉”，科学方法是全面性的保障。实验初期我只想到了 “需求变更”“人员离职” 等常见风险，遗漏了 “数据安全”“用户操作抵触” 等隐性风险；直到借助 SEI 风险分类法按 “客户 / 技术 / 团队 / 环境” 等维度逐一排查，才覆盖了 9 类关键风险。这让我意识到：风险识别不是 “拍脑袋”，而是需要用分类框架和信息收集法（如同类项目复盘）来填补经验盲区。</w:t>
            </w:r>
          </w:p>
          <w:p>
            <w:pPr>
              <w:rPr>
                <w:rFonts w:hint="eastAsia" w:ascii="宋体" w:hAnsi="宋体"/>
                <w:b w:val="0"/>
                <w:bCs w:val="0"/>
                <w:sz w:val="24"/>
              </w:rPr>
            </w:pPr>
            <w:r>
              <w:rPr>
                <w:rFonts w:hint="eastAsia" w:ascii="宋体" w:hAnsi="宋体"/>
                <w:b w:val="0"/>
                <w:bCs w:val="0"/>
                <w:sz w:val="24"/>
                <w:lang w:val="en-US" w:eastAsia="zh-CN"/>
              </w:rPr>
              <w:t>再者，“规避计划” 比 “应急计划” 更能降低项目成本。实验中针对 “开发环境兼容性风险”，我们提前统一了开发 / 测试 / 生产环境的配置标准，后续仅触发 1 次小问题并快速解决；而若未做前置规避，可能会在上线阶段出现大规模兼容性故障，返工成本将是现在的数倍。这让我明白：风险管理的核心是 “预防”，应急方案只是 “兜底手段”。</w:t>
            </w:r>
          </w:p>
          <w:p>
            <w:pPr>
              <w:rPr>
                <w:rFonts w:hint="eastAsia" w:ascii="宋体" w:hAnsi="宋体"/>
                <w:b w:val="0"/>
                <w:bCs w:val="0"/>
                <w:sz w:val="24"/>
              </w:rPr>
            </w:pPr>
            <w:r>
              <w:rPr>
                <w:rFonts w:hint="eastAsia" w:ascii="宋体" w:hAnsi="宋体"/>
                <w:b w:val="0"/>
                <w:bCs w:val="0"/>
                <w:sz w:val="24"/>
                <w:lang w:val="en-US" w:eastAsia="zh-CN"/>
              </w:rPr>
              <w:t>最后，风险的 “动态追踪” 是项目稳定推进的关键。实验中我们通过登记册的 “执行情况” 字段，实时更新风险状态（如 “已缓解”“未触发”），既能及时确认规避措施的有效性，也能对高优先级风险（如 “需求变更”）保持持续关注。这打破了我 “风险登记是一次性工作” 的认知 —— 实际项目中，风险会随进度变化，只有动态追踪才能及时调整应对策略。</w:t>
            </w:r>
          </w:p>
          <w:p>
            <w:pPr>
              <w:rPr>
                <w:rFonts w:hint="eastAsia" w:ascii="宋体" w:hAnsi="宋体"/>
                <w:b w:val="0"/>
                <w:bCs w:val="0"/>
                <w:sz w:val="24"/>
              </w:rPr>
            </w:pPr>
            <w:r>
              <w:rPr>
                <w:rFonts w:hint="eastAsia" w:ascii="宋体" w:hAnsi="宋体"/>
                <w:b w:val="0"/>
                <w:bCs w:val="0"/>
                <w:sz w:val="24"/>
                <w:lang w:val="en-US" w:eastAsia="zh-CN"/>
              </w:rPr>
              <w:t>这次实验让我跳出了 “只关注功能开发” 的局限，理解了 “风险管理是项目成功的隐形保障”。未来参与项目时，我会主动在启动阶段就搭建风险登记册，用科学方法识别风险、前置规避措施，让项目推进更可控、更高效。</w:t>
            </w:r>
          </w:p>
          <w:p>
            <w:pPr>
              <w:rPr>
                <w:rFonts w:hint="eastAsia" w:ascii="宋体" w:hAnsi="宋体"/>
                <w:b w:val="0"/>
                <w:bCs w:val="0"/>
                <w:sz w:val="24"/>
              </w:rPr>
            </w:pPr>
          </w:p>
          <w:p>
            <w:pPr>
              <w:rPr>
                <w:rFonts w:hint="eastAsia" w:ascii="宋体" w:hAnsi="宋体"/>
                <w:b w:val="0"/>
                <w:bCs w:val="0"/>
                <w:sz w:val="24"/>
              </w:rPr>
            </w:pPr>
          </w:p>
          <w:bookmarkEnd w:id="0"/>
          <w:p>
            <w:pPr>
              <w:rPr>
                <w:rFonts w:hint="eastAsia" w:ascii="宋体" w:hAnsi="宋体"/>
                <w:b/>
                <w:bCs/>
                <w:sz w:val="24"/>
              </w:rPr>
            </w:pPr>
          </w:p>
          <w:p>
            <w:pPr>
              <w:rPr>
                <w:rFonts w:hint="eastAsia" w:ascii="宋体" w:hAnsi="宋体"/>
                <w:b/>
                <w:bCs/>
                <w:sz w:val="24"/>
              </w:rPr>
            </w:pPr>
          </w:p>
          <w:p>
            <w:pPr>
              <w:rPr>
                <w:rFonts w:hint="eastAsia" w:ascii="宋体" w:hAnsi="宋体"/>
                <w:b/>
                <w:bCs/>
                <w:sz w:val="24"/>
              </w:rPr>
            </w:pPr>
          </w:p>
          <w:p>
            <w:pPr>
              <w:spacing w:line="480" w:lineRule="auto"/>
              <w:rPr>
                <w:rFonts w:hint="eastAsia" w:ascii="宋体" w:hAnsi="宋体"/>
                <w:sz w:val="24"/>
              </w:rPr>
            </w:pPr>
          </w:p>
          <w:p>
            <w:pPr>
              <w:spacing w:line="480" w:lineRule="auto"/>
              <w:rPr>
                <w:sz w:val="24"/>
              </w:rPr>
            </w:pPr>
          </w:p>
        </w:tc>
      </w:tr>
    </w:tbl>
    <w:p/>
    <w:sectPr>
      <w:pgSz w:w="11907" w:h="16840"/>
      <w:pgMar w:top="426" w:right="567" w:bottom="1134" w:left="56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Segoe UI">
    <w:panose1 w:val="020B0502040204020203"/>
    <w:charset w:val="00"/>
    <w:family w:val="auto"/>
    <w:pitch w:val="default"/>
    <w:sig w:usb0="E4002EFF" w:usb1="C000E47F" w:usb2="00000009" w:usb3="00000000" w:csb0="200001FF" w:csb1="00000000"/>
  </w:font>
  <w:font w:name="Rockwell Extra Bold">
    <w:panose1 w:val="02060903040505020403"/>
    <w:charset w:val="00"/>
    <w:family w:val="auto"/>
    <w:pitch w:val="default"/>
    <w:sig w:usb0="00000003" w:usb1="00000000" w:usb2="00000000" w:usb3="00000000" w:csb0="20000001" w:csb1="00000000"/>
  </w:font>
  <w:font w:name="Segoe MDL2 Assets">
    <w:panose1 w:val="050A0102010101010101"/>
    <w:charset w:val="00"/>
    <w:family w:val="auto"/>
    <w:pitch w:val="default"/>
    <w:sig w:usb0="00000000" w:usb1="10000000" w:usb2="00000000" w:usb3="00000000" w:csb0="00000001" w:csb1="00000000"/>
  </w:font>
  <w:font w:name="Segoe UI Variable Display Semibold">
    <w:panose1 w:val="00000000000000000000"/>
    <w:charset w:val="00"/>
    <w:family w:val="auto"/>
    <w:pitch w:val="default"/>
    <w:sig w:usb0="A00002FF" w:usb1="0000000B" w:usb2="00000000" w:usb3="00000000" w:csb0="2000019F" w:csb1="00000000"/>
  </w:font>
  <w:font w:name="Segoe UI Variable Text Light">
    <w:panose1 w:val="00000000000000000000"/>
    <w:charset w:val="00"/>
    <w:family w:val="auto"/>
    <w:pitch w:val="default"/>
    <w:sig w:usb0="A00002FF" w:usb1="0000000B" w:usb2="00000000" w:usb3="00000000" w:csb0="2000019F" w:csb1="00000000"/>
  </w:font>
  <w:font w:name="Sitka Display">
    <w:panose1 w:val="00000000000000000000"/>
    <w:charset w:val="00"/>
    <w:family w:val="auto"/>
    <w:pitch w:val="default"/>
    <w:sig w:usb0="A00002EF" w:usb1="4000204B" w:usb2="00000000" w:usb3="00000000" w:csb0="2000019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FmZWIzNDg2MmIzZjExOTIzMmViNTBmYTMwYTk0ZWYifQ=="/>
  </w:docVars>
  <w:rsids>
    <w:rsidRoot w:val="00172A27"/>
    <w:rsid w:val="000077BD"/>
    <w:rsid w:val="000227CB"/>
    <w:rsid w:val="00024DEF"/>
    <w:rsid w:val="0004369B"/>
    <w:rsid w:val="000502B3"/>
    <w:rsid w:val="00052E0F"/>
    <w:rsid w:val="00063FC2"/>
    <w:rsid w:val="00067AAC"/>
    <w:rsid w:val="00072B29"/>
    <w:rsid w:val="0007692B"/>
    <w:rsid w:val="00076D82"/>
    <w:rsid w:val="000A0019"/>
    <w:rsid w:val="000A7FF9"/>
    <w:rsid w:val="000B7F88"/>
    <w:rsid w:val="000C3598"/>
    <w:rsid w:val="000C4651"/>
    <w:rsid w:val="000C5667"/>
    <w:rsid w:val="000D1B91"/>
    <w:rsid w:val="000D42CB"/>
    <w:rsid w:val="000E21B3"/>
    <w:rsid w:val="000E2424"/>
    <w:rsid w:val="000F5A4B"/>
    <w:rsid w:val="00103BA9"/>
    <w:rsid w:val="00104BB5"/>
    <w:rsid w:val="00106848"/>
    <w:rsid w:val="0010705A"/>
    <w:rsid w:val="0011143F"/>
    <w:rsid w:val="0011382C"/>
    <w:rsid w:val="001258D1"/>
    <w:rsid w:val="00134450"/>
    <w:rsid w:val="001361DB"/>
    <w:rsid w:val="00143B70"/>
    <w:rsid w:val="00144019"/>
    <w:rsid w:val="0014645C"/>
    <w:rsid w:val="0014656B"/>
    <w:rsid w:val="00152781"/>
    <w:rsid w:val="001723C2"/>
    <w:rsid w:val="00172A27"/>
    <w:rsid w:val="00175F50"/>
    <w:rsid w:val="00176748"/>
    <w:rsid w:val="001777F2"/>
    <w:rsid w:val="00177E71"/>
    <w:rsid w:val="001853FC"/>
    <w:rsid w:val="00187568"/>
    <w:rsid w:val="00193406"/>
    <w:rsid w:val="00193EE6"/>
    <w:rsid w:val="00194150"/>
    <w:rsid w:val="001A36F7"/>
    <w:rsid w:val="001B53CE"/>
    <w:rsid w:val="001B7B32"/>
    <w:rsid w:val="001B7B5E"/>
    <w:rsid w:val="001C5A07"/>
    <w:rsid w:val="001D34E3"/>
    <w:rsid w:val="001E49C0"/>
    <w:rsid w:val="00200D99"/>
    <w:rsid w:val="002044FC"/>
    <w:rsid w:val="00206E33"/>
    <w:rsid w:val="002079EE"/>
    <w:rsid w:val="00210089"/>
    <w:rsid w:val="002166EE"/>
    <w:rsid w:val="002268AF"/>
    <w:rsid w:val="002306A9"/>
    <w:rsid w:val="00233886"/>
    <w:rsid w:val="00235972"/>
    <w:rsid w:val="00241B74"/>
    <w:rsid w:val="0024512F"/>
    <w:rsid w:val="002476D8"/>
    <w:rsid w:val="00250D5F"/>
    <w:rsid w:val="0026660A"/>
    <w:rsid w:val="00266F5D"/>
    <w:rsid w:val="00271390"/>
    <w:rsid w:val="00274850"/>
    <w:rsid w:val="002757E6"/>
    <w:rsid w:val="0029392B"/>
    <w:rsid w:val="0029746D"/>
    <w:rsid w:val="002A0971"/>
    <w:rsid w:val="002A59F8"/>
    <w:rsid w:val="002B45DE"/>
    <w:rsid w:val="002B7FD7"/>
    <w:rsid w:val="002C14B3"/>
    <w:rsid w:val="002E1654"/>
    <w:rsid w:val="002E4B76"/>
    <w:rsid w:val="002F2662"/>
    <w:rsid w:val="00314306"/>
    <w:rsid w:val="00316D10"/>
    <w:rsid w:val="003270C4"/>
    <w:rsid w:val="00330831"/>
    <w:rsid w:val="00342286"/>
    <w:rsid w:val="00350D97"/>
    <w:rsid w:val="003550C6"/>
    <w:rsid w:val="00380F88"/>
    <w:rsid w:val="0039109F"/>
    <w:rsid w:val="00393E33"/>
    <w:rsid w:val="003951C7"/>
    <w:rsid w:val="003A12E8"/>
    <w:rsid w:val="003A5B65"/>
    <w:rsid w:val="003A6B40"/>
    <w:rsid w:val="003C2F0A"/>
    <w:rsid w:val="003C4CE0"/>
    <w:rsid w:val="003D7B49"/>
    <w:rsid w:val="003F0146"/>
    <w:rsid w:val="00400E9A"/>
    <w:rsid w:val="004218A7"/>
    <w:rsid w:val="004234B6"/>
    <w:rsid w:val="00425034"/>
    <w:rsid w:val="00435982"/>
    <w:rsid w:val="00445F5B"/>
    <w:rsid w:val="004475E5"/>
    <w:rsid w:val="00451920"/>
    <w:rsid w:val="00451A15"/>
    <w:rsid w:val="00452A34"/>
    <w:rsid w:val="0045565E"/>
    <w:rsid w:val="004622F5"/>
    <w:rsid w:val="00462A7A"/>
    <w:rsid w:val="00476BDB"/>
    <w:rsid w:val="004A0D5B"/>
    <w:rsid w:val="004A6184"/>
    <w:rsid w:val="004B6492"/>
    <w:rsid w:val="004C2AAC"/>
    <w:rsid w:val="004C65B4"/>
    <w:rsid w:val="004E037A"/>
    <w:rsid w:val="004E3789"/>
    <w:rsid w:val="004F00A4"/>
    <w:rsid w:val="004F1C2F"/>
    <w:rsid w:val="004F34B2"/>
    <w:rsid w:val="00506C98"/>
    <w:rsid w:val="00516595"/>
    <w:rsid w:val="005203E3"/>
    <w:rsid w:val="00525256"/>
    <w:rsid w:val="00544E4E"/>
    <w:rsid w:val="00545F5E"/>
    <w:rsid w:val="005512A8"/>
    <w:rsid w:val="00551FAA"/>
    <w:rsid w:val="00552A12"/>
    <w:rsid w:val="005532E8"/>
    <w:rsid w:val="00555102"/>
    <w:rsid w:val="00557987"/>
    <w:rsid w:val="0056294B"/>
    <w:rsid w:val="00575B1E"/>
    <w:rsid w:val="005761F8"/>
    <w:rsid w:val="005767FE"/>
    <w:rsid w:val="0058215C"/>
    <w:rsid w:val="00592C3C"/>
    <w:rsid w:val="005975C9"/>
    <w:rsid w:val="005A180A"/>
    <w:rsid w:val="005A7174"/>
    <w:rsid w:val="005B6E65"/>
    <w:rsid w:val="005B6E7A"/>
    <w:rsid w:val="005C48BB"/>
    <w:rsid w:val="005C65B2"/>
    <w:rsid w:val="005D0DD6"/>
    <w:rsid w:val="005D2EA4"/>
    <w:rsid w:val="005D78DC"/>
    <w:rsid w:val="005F0C04"/>
    <w:rsid w:val="00600DC1"/>
    <w:rsid w:val="00601AAF"/>
    <w:rsid w:val="00603D9A"/>
    <w:rsid w:val="006070F8"/>
    <w:rsid w:val="006147FA"/>
    <w:rsid w:val="00614B20"/>
    <w:rsid w:val="006168CE"/>
    <w:rsid w:val="006203D9"/>
    <w:rsid w:val="0063012E"/>
    <w:rsid w:val="0063467F"/>
    <w:rsid w:val="006435E7"/>
    <w:rsid w:val="00644BA7"/>
    <w:rsid w:val="00646561"/>
    <w:rsid w:val="006477E2"/>
    <w:rsid w:val="0065385D"/>
    <w:rsid w:val="006576D9"/>
    <w:rsid w:val="00671B16"/>
    <w:rsid w:val="006863CE"/>
    <w:rsid w:val="0069697E"/>
    <w:rsid w:val="006A0A55"/>
    <w:rsid w:val="006A3442"/>
    <w:rsid w:val="006A5106"/>
    <w:rsid w:val="006B6962"/>
    <w:rsid w:val="006C07C7"/>
    <w:rsid w:val="006C14DA"/>
    <w:rsid w:val="006C2B31"/>
    <w:rsid w:val="006C3B3F"/>
    <w:rsid w:val="006D65EE"/>
    <w:rsid w:val="006E5C38"/>
    <w:rsid w:val="006F458D"/>
    <w:rsid w:val="00704EE4"/>
    <w:rsid w:val="00715149"/>
    <w:rsid w:val="00716973"/>
    <w:rsid w:val="0072125F"/>
    <w:rsid w:val="00740328"/>
    <w:rsid w:val="007450BF"/>
    <w:rsid w:val="007460D3"/>
    <w:rsid w:val="007526DA"/>
    <w:rsid w:val="00771536"/>
    <w:rsid w:val="00774253"/>
    <w:rsid w:val="00793249"/>
    <w:rsid w:val="007A2D56"/>
    <w:rsid w:val="007A3C58"/>
    <w:rsid w:val="007A3C93"/>
    <w:rsid w:val="007C08AA"/>
    <w:rsid w:val="007C3115"/>
    <w:rsid w:val="007D6ABA"/>
    <w:rsid w:val="007E1FF5"/>
    <w:rsid w:val="007E3AD6"/>
    <w:rsid w:val="007E40E2"/>
    <w:rsid w:val="007E7109"/>
    <w:rsid w:val="007F4B63"/>
    <w:rsid w:val="00830B18"/>
    <w:rsid w:val="00843A52"/>
    <w:rsid w:val="00846760"/>
    <w:rsid w:val="00846919"/>
    <w:rsid w:val="008475B5"/>
    <w:rsid w:val="00852FA2"/>
    <w:rsid w:val="00855236"/>
    <w:rsid w:val="0088546D"/>
    <w:rsid w:val="008A2931"/>
    <w:rsid w:val="008C2A25"/>
    <w:rsid w:val="008D6330"/>
    <w:rsid w:val="008E15FE"/>
    <w:rsid w:val="008E691E"/>
    <w:rsid w:val="00901F3D"/>
    <w:rsid w:val="009051C7"/>
    <w:rsid w:val="00905EBE"/>
    <w:rsid w:val="00910730"/>
    <w:rsid w:val="0092337D"/>
    <w:rsid w:val="00934541"/>
    <w:rsid w:val="009355D2"/>
    <w:rsid w:val="00937AF2"/>
    <w:rsid w:val="00941534"/>
    <w:rsid w:val="00944061"/>
    <w:rsid w:val="00955E11"/>
    <w:rsid w:val="00960F22"/>
    <w:rsid w:val="009636AC"/>
    <w:rsid w:val="00964B50"/>
    <w:rsid w:val="00966DB0"/>
    <w:rsid w:val="009714F2"/>
    <w:rsid w:val="009727FD"/>
    <w:rsid w:val="009931B1"/>
    <w:rsid w:val="009938E8"/>
    <w:rsid w:val="00993F35"/>
    <w:rsid w:val="009B5165"/>
    <w:rsid w:val="009B5E2F"/>
    <w:rsid w:val="009B7857"/>
    <w:rsid w:val="009B7C67"/>
    <w:rsid w:val="009D3262"/>
    <w:rsid w:val="009D48E0"/>
    <w:rsid w:val="009F3C26"/>
    <w:rsid w:val="009F5E42"/>
    <w:rsid w:val="009F7967"/>
    <w:rsid w:val="00A014B3"/>
    <w:rsid w:val="00A02044"/>
    <w:rsid w:val="00A06521"/>
    <w:rsid w:val="00A06B9B"/>
    <w:rsid w:val="00A14C91"/>
    <w:rsid w:val="00A17EC9"/>
    <w:rsid w:val="00A20CAF"/>
    <w:rsid w:val="00A2783D"/>
    <w:rsid w:val="00A3127F"/>
    <w:rsid w:val="00A32115"/>
    <w:rsid w:val="00A34A54"/>
    <w:rsid w:val="00A34AD3"/>
    <w:rsid w:val="00A4765D"/>
    <w:rsid w:val="00A720D3"/>
    <w:rsid w:val="00A751BF"/>
    <w:rsid w:val="00A808C9"/>
    <w:rsid w:val="00A80B7A"/>
    <w:rsid w:val="00A81775"/>
    <w:rsid w:val="00A834C7"/>
    <w:rsid w:val="00A85C7B"/>
    <w:rsid w:val="00A85DEF"/>
    <w:rsid w:val="00A8764B"/>
    <w:rsid w:val="00A90439"/>
    <w:rsid w:val="00AB1E3A"/>
    <w:rsid w:val="00AB3917"/>
    <w:rsid w:val="00AC316D"/>
    <w:rsid w:val="00AD4882"/>
    <w:rsid w:val="00AE01D1"/>
    <w:rsid w:val="00AE3F05"/>
    <w:rsid w:val="00AE6707"/>
    <w:rsid w:val="00AF2E76"/>
    <w:rsid w:val="00B0469E"/>
    <w:rsid w:val="00B0490F"/>
    <w:rsid w:val="00B1455C"/>
    <w:rsid w:val="00B15976"/>
    <w:rsid w:val="00B20EB8"/>
    <w:rsid w:val="00B21114"/>
    <w:rsid w:val="00B31399"/>
    <w:rsid w:val="00B6191E"/>
    <w:rsid w:val="00B6414B"/>
    <w:rsid w:val="00B93486"/>
    <w:rsid w:val="00B97FF4"/>
    <w:rsid w:val="00BA0300"/>
    <w:rsid w:val="00BA2556"/>
    <w:rsid w:val="00BA356F"/>
    <w:rsid w:val="00BA4862"/>
    <w:rsid w:val="00BA52FF"/>
    <w:rsid w:val="00BA73F1"/>
    <w:rsid w:val="00BB189E"/>
    <w:rsid w:val="00BE38A3"/>
    <w:rsid w:val="00BF0EF0"/>
    <w:rsid w:val="00BF1517"/>
    <w:rsid w:val="00C03E78"/>
    <w:rsid w:val="00C06530"/>
    <w:rsid w:val="00C07F8B"/>
    <w:rsid w:val="00C232CC"/>
    <w:rsid w:val="00C47606"/>
    <w:rsid w:val="00C542CA"/>
    <w:rsid w:val="00C70B78"/>
    <w:rsid w:val="00C8194B"/>
    <w:rsid w:val="00C943F3"/>
    <w:rsid w:val="00C95B20"/>
    <w:rsid w:val="00C974FB"/>
    <w:rsid w:val="00CA7C6E"/>
    <w:rsid w:val="00CB2827"/>
    <w:rsid w:val="00CB3DE1"/>
    <w:rsid w:val="00CB48A4"/>
    <w:rsid w:val="00CB7BAD"/>
    <w:rsid w:val="00CD5C7A"/>
    <w:rsid w:val="00CD7FDA"/>
    <w:rsid w:val="00CE0667"/>
    <w:rsid w:val="00CE0828"/>
    <w:rsid w:val="00CE1BFE"/>
    <w:rsid w:val="00CE6743"/>
    <w:rsid w:val="00CF7955"/>
    <w:rsid w:val="00D0084B"/>
    <w:rsid w:val="00D00A72"/>
    <w:rsid w:val="00D046BE"/>
    <w:rsid w:val="00D0658E"/>
    <w:rsid w:val="00D1118F"/>
    <w:rsid w:val="00D12AC2"/>
    <w:rsid w:val="00D17AD3"/>
    <w:rsid w:val="00D32064"/>
    <w:rsid w:val="00D34E5F"/>
    <w:rsid w:val="00D35640"/>
    <w:rsid w:val="00D430A0"/>
    <w:rsid w:val="00D514BF"/>
    <w:rsid w:val="00D616BA"/>
    <w:rsid w:val="00D653B5"/>
    <w:rsid w:val="00D725FB"/>
    <w:rsid w:val="00D7663A"/>
    <w:rsid w:val="00D8248D"/>
    <w:rsid w:val="00D8446E"/>
    <w:rsid w:val="00DA0AF1"/>
    <w:rsid w:val="00DA3FD2"/>
    <w:rsid w:val="00DA4111"/>
    <w:rsid w:val="00DA4E12"/>
    <w:rsid w:val="00DA5EE3"/>
    <w:rsid w:val="00DB19DE"/>
    <w:rsid w:val="00DB4D6E"/>
    <w:rsid w:val="00DB6D5B"/>
    <w:rsid w:val="00DC5D2E"/>
    <w:rsid w:val="00DD4431"/>
    <w:rsid w:val="00DE14DE"/>
    <w:rsid w:val="00DE5EAB"/>
    <w:rsid w:val="00DF4905"/>
    <w:rsid w:val="00E00993"/>
    <w:rsid w:val="00E012AD"/>
    <w:rsid w:val="00E01A04"/>
    <w:rsid w:val="00E15404"/>
    <w:rsid w:val="00E226DC"/>
    <w:rsid w:val="00E30FE4"/>
    <w:rsid w:val="00E349F9"/>
    <w:rsid w:val="00E43B2A"/>
    <w:rsid w:val="00E53B0B"/>
    <w:rsid w:val="00E57221"/>
    <w:rsid w:val="00E57CA6"/>
    <w:rsid w:val="00E63323"/>
    <w:rsid w:val="00E66529"/>
    <w:rsid w:val="00E72602"/>
    <w:rsid w:val="00E76170"/>
    <w:rsid w:val="00E766BF"/>
    <w:rsid w:val="00E77BCA"/>
    <w:rsid w:val="00E87A79"/>
    <w:rsid w:val="00E94DD7"/>
    <w:rsid w:val="00E95D03"/>
    <w:rsid w:val="00EA2643"/>
    <w:rsid w:val="00EB51F6"/>
    <w:rsid w:val="00EB6727"/>
    <w:rsid w:val="00EC1830"/>
    <w:rsid w:val="00EC5AFF"/>
    <w:rsid w:val="00EC61AD"/>
    <w:rsid w:val="00ED63B6"/>
    <w:rsid w:val="00EE2FAF"/>
    <w:rsid w:val="00EE781E"/>
    <w:rsid w:val="00EF6F26"/>
    <w:rsid w:val="00F01440"/>
    <w:rsid w:val="00F01BA7"/>
    <w:rsid w:val="00F12709"/>
    <w:rsid w:val="00F13A27"/>
    <w:rsid w:val="00F242E9"/>
    <w:rsid w:val="00F337D3"/>
    <w:rsid w:val="00F572DC"/>
    <w:rsid w:val="00F601E8"/>
    <w:rsid w:val="00F618CD"/>
    <w:rsid w:val="00F71D49"/>
    <w:rsid w:val="00F803B7"/>
    <w:rsid w:val="00F93437"/>
    <w:rsid w:val="00FA2262"/>
    <w:rsid w:val="00FB1FB9"/>
    <w:rsid w:val="00FB5515"/>
    <w:rsid w:val="00FB57D9"/>
    <w:rsid w:val="00FD26DB"/>
    <w:rsid w:val="00FE5BA4"/>
    <w:rsid w:val="070F5018"/>
    <w:rsid w:val="07784A9B"/>
    <w:rsid w:val="08074B0B"/>
    <w:rsid w:val="08CE6789"/>
    <w:rsid w:val="12AD77BE"/>
    <w:rsid w:val="14945B76"/>
    <w:rsid w:val="181461D3"/>
    <w:rsid w:val="1BCD7790"/>
    <w:rsid w:val="1C0B291A"/>
    <w:rsid w:val="1EF26257"/>
    <w:rsid w:val="257E0390"/>
    <w:rsid w:val="30551A25"/>
    <w:rsid w:val="33D26538"/>
    <w:rsid w:val="4366271E"/>
    <w:rsid w:val="436C78AE"/>
    <w:rsid w:val="48965985"/>
    <w:rsid w:val="4AE61558"/>
    <w:rsid w:val="4F0B4F6A"/>
    <w:rsid w:val="50224D98"/>
    <w:rsid w:val="5379511E"/>
    <w:rsid w:val="590F17F8"/>
    <w:rsid w:val="5D557375"/>
    <w:rsid w:val="5EB2125D"/>
    <w:rsid w:val="606D6F96"/>
    <w:rsid w:val="611E024C"/>
    <w:rsid w:val="67994EBE"/>
    <w:rsid w:val="683D0FF6"/>
    <w:rsid w:val="6CC43076"/>
    <w:rsid w:val="6EE57F45"/>
    <w:rsid w:val="76F1164A"/>
    <w:rsid w:val="76F235FC"/>
    <w:rsid w:val="78D61247"/>
    <w:rsid w:val="7F1B5EA8"/>
    <w:rsid w:val="7FEF33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semiHidden/>
    <w:uiPriority w:val="0"/>
    <w:rPr>
      <w:sz w:val="18"/>
      <w:szCs w:val="18"/>
    </w:rPr>
  </w:style>
  <w:style w:type="paragraph" w:styleId="3">
    <w:name w:val="footer"/>
    <w:basedOn w:val="1"/>
    <w:link w:val="14"/>
    <w:uiPriority w:val="0"/>
    <w:pPr>
      <w:tabs>
        <w:tab w:val="center" w:pos="4153"/>
        <w:tab w:val="right" w:pos="8306"/>
      </w:tabs>
      <w:snapToGrid w:val="0"/>
      <w:jc w:val="left"/>
    </w:pPr>
    <w:rPr>
      <w:sz w:val="18"/>
      <w:szCs w:val="18"/>
    </w:rPr>
  </w:style>
  <w:style w:type="paragraph" w:styleId="4">
    <w:name w:val="header"/>
    <w:basedOn w:val="1"/>
    <w:link w:val="13"/>
    <w:uiPriority w:val="0"/>
    <w:pPr>
      <w:pBdr>
        <w:bottom w:val="single" w:color="auto" w:sz="6" w:space="1"/>
      </w:pBdr>
      <w:tabs>
        <w:tab w:val="center" w:pos="4153"/>
        <w:tab w:val="right" w:pos="8306"/>
      </w:tabs>
      <w:snapToGrid w:val="0"/>
      <w:jc w:val="center"/>
    </w:pPr>
    <w:rPr>
      <w:sz w:val="18"/>
      <w:szCs w:val="18"/>
    </w:rPr>
  </w:style>
  <w:style w:type="paragraph" w:styleId="5">
    <w:name w:val="Subtitle"/>
    <w:basedOn w:val="1"/>
    <w:next w:val="1"/>
    <w:link w:val="16"/>
    <w:qFormat/>
    <w:uiPriority w:val="0"/>
    <w:pPr>
      <w:spacing w:before="240" w:after="60" w:line="312" w:lineRule="auto"/>
      <w:jc w:val="center"/>
      <w:outlineLvl w:val="1"/>
    </w:pPr>
    <w:rPr>
      <w:rFonts w:ascii="Cambria" w:hAnsi="Cambria"/>
      <w:b/>
      <w:bCs/>
      <w:kern w:val="28"/>
      <w:sz w:val="32"/>
      <w:szCs w:val="32"/>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Hyperlink"/>
    <w:autoRedefine/>
    <w:unhideWhenUsed/>
    <w:qFormat/>
    <w:uiPriority w:val="99"/>
    <w:rPr>
      <w:color w:val="0000FF"/>
      <w:u w:val="single"/>
    </w:rPr>
  </w:style>
  <w:style w:type="character" w:customStyle="1" w:styleId="11">
    <w:name w:val="作业 Char"/>
    <w:link w:val="12"/>
    <w:uiPriority w:val="0"/>
    <w:rPr>
      <w:rFonts w:ascii="楷体" w:hAnsi="楷体" w:eastAsia="楷体"/>
      <w:kern w:val="2"/>
      <w:sz w:val="21"/>
      <w:szCs w:val="22"/>
    </w:rPr>
  </w:style>
  <w:style w:type="paragraph" w:customStyle="1" w:styleId="12">
    <w:name w:val="作业"/>
    <w:basedOn w:val="1"/>
    <w:link w:val="11"/>
    <w:qFormat/>
    <w:uiPriority w:val="0"/>
    <w:pPr>
      <w:spacing w:line="300" w:lineRule="auto"/>
      <w:ind w:firstLine="420" w:firstLineChars="200"/>
    </w:pPr>
    <w:rPr>
      <w:rFonts w:ascii="楷体" w:hAnsi="楷体" w:eastAsia="楷体"/>
      <w:szCs w:val="22"/>
    </w:rPr>
  </w:style>
  <w:style w:type="character" w:customStyle="1" w:styleId="13">
    <w:name w:val="页眉 字符"/>
    <w:link w:val="4"/>
    <w:uiPriority w:val="0"/>
    <w:rPr>
      <w:kern w:val="2"/>
      <w:sz w:val="18"/>
      <w:szCs w:val="18"/>
    </w:rPr>
  </w:style>
  <w:style w:type="character" w:customStyle="1" w:styleId="14">
    <w:name w:val="页脚 字符"/>
    <w:link w:val="3"/>
    <w:uiPriority w:val="0"/>
    <w:rPr>
      <w:kern w:val="2"/>
      <w:sz w:val="18"/>
      <w:szCs w:val="18"/>
    </w:rPr>
  </w:style>
  <w:style w:type="character" w:customStyle="1" w:styleId="15">
    <w:name w:val="apple-converted-space"/>
    <w:uiPriority w:val="0"/>
  </w:style>
  <w:style w:type="character" w:customStyle="1" w:styleId="16">
    <w:name w:val="副标题 字符"/>
    <w:link w:val="5"/>
    <w:uiPriority w:val="0"/>
    <w:rPr>
      <w:rFonts w:ascii="Cambria" w:hAnsi="Cambria" w:cs="Times New Roman"/>
      <w:b/>
      <w:bCs/>
      <w:kern w:val="28"/>
      <w:sz w:val="32"/>
      <w:szCs w:val="32"/>
    </w:rPr>
  </w:style>
  <w:style w:type="paragraph" w:customStyle="1" w:styleId="17">
    <w:name w:val="大纲标题1"/>
    <w:basedOn w:val="1"/>
    <w:uiPriority w:val="0"/>
    <w:pPr>
      <w:spacing w:before="60" w:after="60" w:line="312" w:lineRule="exact"/>
    </w:pPr>
    <w:rPr>
      <w:b/>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dzgcx</Company>
  <Pages>2</Pages>
  <Words>339</Words>
  <Characters>344</Characters>
  <Lines>86</Lines>
  <Paragraphs>68</Paragraphs>
  <TotalTime>93</TotalTime>
  <ScaleCrop>false</ScaleCrop>
  <LinksUpToDate>false</LinksUpToDate>
  <CharactersWithSpaces>615</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2019-10-08T09:37:00Z</dcterms:created>
  <dc:creator>dzgcx</dc:creator>
  <cp:lastModifiedBy>WPS_1644503230</cp:lastModifiedBy>
  <cp:lastPrinted>2006-12-25T07:24:00Z</cp:lastPrinted>
  <dcterms:modified xsi:type="dcterms:W3CDTF">2025-12-14T11:08:04Z</dcterms:modified>
  <dc:title>电子工程系                 实验报告</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BF83B12E7EDA4F3D9D7502BCBDA5D805_12</vt:lpwstr>
  </property>
</Properties>
</file>