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架构决策台账与批准状态</w:t>
      </w:r>
    </w:p>
    <w:p>
      <w:pPr>
        <w:spacing w:after="240"/>
      </w:pPr>
      <w:r>
        <w:rPr>
          <w:rFonts w:ascii="Noto Sans CJK SC" w:hAnsi="Noto Sans CJK SC" w:eastAsia="Noto Sans CJK SC"/>
          <w:b w:val="0"/>
          <w:color w:val="68727E"/>
          <w:sz w:val="15"/>
        </w:rPr>
        <w:t>ARCHITECTURE PLANNING  ·  00-governance/01-decision-register  ·  2026-10-17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8C5B2E"/>
          <w:sz w:val="16"/>
        </w:rPr>
        <w:t>规划文档 · 尚未实施 · 已确认决策与按推荐采纳的方案在决策台账中分列。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文档定位</w:t>
      </w:r>
    </w:p>
    <w:p>
      <w:pPr/>
      <w:r>
        <w:rPr>
          <w:rFonts w:ascii="Noto Sans CJK SC" w:hAnsi="Noto Sans CJK SC" w:eastAsia="Noto Sans CJK SC"/>
          <w:b w:val="0"/>
          <w:sz w:val="18"/>
        </w:rPr>
        <w:t>本台账整理截至 2026-10-17 的 Homelab Monitor 方案。优先级：用户明确确认的决策 &gt; 本轮「全部按推荐」授权采用的架构建议 &gt; 仅供实施阶段验证的候选参数。本文不代表当前程序已完成这些能力。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已明确确认的架构决策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</w:tblGrid>
      <w:tr>
        <w:trPr>
          <w:cantSplit/>
          <w:tblHeader w:val="true"/>
        </w:trPr>
        <w:tc>
          <w:tcPr>
            <w:tcW w:type="dxa" w:w="2472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ID</w:t>
            </w:r>
          </w:p>
        </w:tc>
        <w:tc>
          <w:tcPr>
            <w:tcW w:type="dxa" w:w="2472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领域</w:t>
            </w:r>
          </w:p>
        </w:tc>
        <w:tc>
          <w:tcPr>
            <w:tcW w:type="dxa" w:w="2472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决策</w:t>
            </w:r>
          </w:p>
        </w:tc>
        <w:tc>
          <w:tcPr>
            <w:tcW w:type="dxa" w:w="2472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状态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ADR-001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产品定位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可扩展的家庭监控平台，设备、网络、服务、流量、告警一体化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已确认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ADR-002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中心部署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Alienware 为唯一长期运行的监控中心；无需 HA 或离线历史补录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已确认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ADR-003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Server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Go 模块化单体，不预先拆微服务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已确认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ADR-004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设备采集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N1 和 Alienware 用 Go Agent；Newifi 优先无 Agent 远程读取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已确认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ADR-005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插件范围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第一版完整 Collector 插件管理系统，不是只有静态注册接口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已确认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ADR-006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插件运行时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原生独立进程；gRPC over Unix Socket；每个插件包一个进程为默认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已确认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ADR-007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插件分发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Server 管理期望状态，Agent 主动拉取；本地安全校验、拒绝与回滚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已确认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ADR-008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Web 网络边界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仅 LAN 和 Tailnet 访问，不直接暴露公网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已确认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ADR-009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身份与角色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应用本地账号统一登录；Owner 与 Viewer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已确认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ADR-010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远程管理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Newifi 专用受限采集授权，管理员密钥与监控密钥分离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已确认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ADR-011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历史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采样、聚合、保留期限、配额 Web 可配置；自动分层清理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已确认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ADR-012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流量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全局域网设备和 Tailscale 客户端，含 Exit Node；避免重复计数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已确认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ADR-013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诊断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日常轻量汇总；连接明细仅 Owner 按需限时开启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已确认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ADR-014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设备身份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高可信自动关联；模糊情况 Owner 审核，可合并拆分和追踪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已确认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ADR-015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在线监测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默认被动发现；Owner 可以发起限时低成本单设备探测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已确认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ADR-016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可视化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多仪表盘、Widget、用户个性化布局；Owner 发布共享版本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已确认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ADR-017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告警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基础高可信模板默认启用；受限 AND/OR，模板语义变更 Owner 审核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已确认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ADR-018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通知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Web 站内通知 + PWA Web Push；Critical/Warning 默认推送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已确认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根据「全部按推荐」授权纳入基线、尚未逐项单独确认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</w:tblGrid>
      <w:tr>
        <w:trPr>
          <w:cantSplit/>
          <w:tblHeader w:val="true"/>
        </w:trPr>
        <w:tc>
          <w:tcPr>
            <w:tcW w:type="dxa" w:w="2472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ID</w:t>
            </w:r>
          </w:p>
        </w:tc>
        <w:tc>
          <w:tcPr>
            <w:tcW w:type="dxa" w:w="2472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领域</w:t>
            </w:r>
          </w:p>
        </w:tc>
        <w:tc>
          <w:tcPr>
            <w:tcW w:type="dxa" w:w="2472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推荐基线</w:t>
            </w:r>
          </w:p>
        </w:tc>
        <w:tc>
          <w:tcPr>
            <w:tcW w:type="dxa" w:w="2472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状态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REC-001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Agent ↔ Server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HTTPS，Agent 主动轮询期望状态、批量上报指标、按需下载插件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本轮按推荐采用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REC-002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状态管理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desired / observed / applied revision 声明式对账、拒绝与回滚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本轮按推荐采用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REC-003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Agent 认证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TLS + 独立设备凭据（初始采用作用域受限设备 Token，预留 mTLS）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推荐基线，实施前安全复核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REC-004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持久化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优先评估 SQLite WAL；元数据与高频数据逻辑隔离，容量驱动升级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推荐基线，需压测确认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REC-005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Web API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受控 HTTP JSON API；实时订阅优先 SSE，命令操作仍经 HTTP API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推荐基线，实施前验证</w:t>
            </w:r>
          </w:p>
        </w:tc>
      </w:tr>
      <w:tr>
        <w:trPr>
          <w:cantSplit/>
        </w:trPr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REC-006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插件发布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可信签名制品、哈希校验、平台兼容检查、本地运行权限约束</w:t>
            </w:r>
          </w:p>
        </w:tc>
        <w:tc>
          <w:tcPr>
            <w:tcW w:type="dxa" w:w="2472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推荐基线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未批准修改的对象</w:t>
      </w:r>
    </w:p>
    <w:p>
      <w:pPr/>
      <w:r>
        <w:rPr>
          <w:rFonts w:ascii="Noto Sans CJK SC" w:hAnsi="Noto Sans CJK SC" w:eastAsia="Noto Sans CJK SC"/>
          <w:b w:val="0"/>
          <w:sz w:val="18"/>
        </w:rPr>
        <w:t>现有 Go 源码、AGENTS.md、现有 docs 原文、OpenWrt 网络配置、N1 sing-box、Tailscale、防火墙、systemd、Alienware 服务与磁盘配置均未因本套文档而被修改。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架构与业务的分界</w:t>
      </w:r>
    </w:p>
    <w:p>
      <w:pPr/>
      <w:r>
        <w:rPr>
          <w:rFonts w:ascii="Noto Sans CJK SC" w:hAnsi="Noto Sans CJK SC" w:eastAsia="Noto Sans CJK SC"/>
          <w:b w:val="0"/>
          <w:sz w:val="18"/>
        </w:rPr>
        <w:t>架构项在本套文档明确边界、协议、模块、责任及故障策略；告警阈值、具体采样频率、保留天数、默认 Widget、PWA 细节、准确率阈值等仅列为候选值或延后决议，不视为正式定稿。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冲突处理与维护</w:t>
      </w:r>
    </w:p>
    <w:p>
      <w:pPr/>
      <w:r>
        <w:rPr>
          <w:rFonts w:ascii="Noto Sans CJK SC" w:hAnsi="Noto Sans CJK SC" w:eastAsia="Noto Sans CJK SC"/>
          <w:b w:val="0"/>
          <w:sz w:val="18"/>
        </w:rPr>
        <w:t>架构冲突先修订本台账并新增 ADR，不能直接在代码里改变已确认约束。建议架构变更记录包含：问题、候选方案、取舍、批准人、时间、影响、回滚方式。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49" w:right="1134" w:bottom="1020" w:left="1219" w:header="397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37382"/>
        <w:sz w:val="14"/>
      </w:rPr>
      <w:t>Homelab Monitor  |  Architecture Docs  |  2026-10-17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/>
        <w:color w:val="406C84"/>
        <w:sz w:val="14"/>
      </w:rPr>
      <w:t>HOMELAB MONITOR  /  ARCHITECTURE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78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851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架构决策台账与批准状态</dc:title>
  <dc:subject>Homelab Monitor architecture planning</dc:subject>
  <dc:creator>Homelab Monitor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