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核心原则与不可违反约束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00-governance/02-nonnegotiables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优先级原则</w:t>
      </w:r>
    </w:p>
    <w:p>
      <w:pPr/>
      <w:r>
        <w:rPr>
          <w:rFonts w:ascii="Noto Sans CJK SC" w:hAnsi="Noto Sans CJK SC" w:eastAsia="Noto Sans CJK SC"/>
          <w:b w:val="0"/>
          <w:sz w:val="18"/>
        </w:rPr>
        <w:t>P0 设备本职工作优先于 P1 基础监控，P1 优先于 P2 增强分析。Newifi 必须持续履行 NAT/DHCP/Wi-Fi/防火墙职责；N1 的 sing-box 与 Tailscale Exit Node 不被监控系统阻塞；Alienware 现有服务和休眠 HDD 不得被监控意外干扰。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不可违反约束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监控不进入网络数据转发关键路径；插件关闭、Agent 崩溃或 Server 断电不会成为路由、代理、DNS 和 Tailscale 的必要依赖。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默认不修改路由、NAT、流量分流规则、防火墙、sing-box、Tailscale 配置；未来需要计数规则时单独评审，不能伴随 Agent 启动隐式安装。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日常采集被动、低频、限时、限量；Web 查询与告警数量增加不得线性增加 Newifi / N1 的采集负载。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所有远程设备访问使用最小权限；Newifi 不持久写入监控历史库，不依赖长期运行的新监控进程。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外部插件不等于可信代码；即使完成签名验证也必须隔离进程权限和资源。不能宣称 native plugin 绝对安全。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Alienware Server 是唯一控制中心。关机期间允许无记录、无补传、无远程告警；路由与代理保持独立运行。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历史统计不得以零填补缺失值；准确度不足允许 Unknown / Partial / Estimated。避免按观测点简单求和形成双重计数。</w:t>
      </w:r>
    </w:p>
    <w:p>
      <w:pPr>
        <w:pStyle w:val="ListBullet"/>
        <w:spacing w:after="60"/>
        <w:ind w:left="312"/>
      </w:pPr>
      <w:r>
        <w:rPr>
          <w:rFonts w:ascii="Noto Sans CJK SC" w:hAnsi="Noto Sans CJK SC" w:eastAsia="Noto Sans CJK SC"/>
          <w:b w:val="0"/>
          <w:sz w:val="18"/>
        </w:rPr>
        <w:t>休眠 HDD 不做定期 SMART、文件遍历或可能唤醒磁盘的探测。SSD 承担实时数据库，磁盘硬保护优先。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故障下的预期行为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故障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允许发生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不允许发生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Server 宕机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 Web、无新增监控历史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 网络代理失效、Newifi 网络中断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N1 Agent 或插件崩溃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部分指标不可用、Web 告警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影响 sing-box/Tailscale 主服务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Newifi 远程采集超时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标记 stale，限频重试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SSH 登录风暴或路由器过载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数据库空间紧张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降采样、限写、清理低优先级层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SSD 被监控数据挤满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第三方推送失败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Web 可记录故障及发送失败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阻塞 Agent 指标上报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架构质量要求</w:t>
      </w:r>
    </w:p>
    <w:p>
      <w:pPr/>
      <w:r>
        <w:rPr>
          <w:rFonts w:ascii="Noto Sans CJK SC" w:hAnsi="Noto Sans CJK SC" w:eastAsia="Noto Sans CJK SC"/>
          <w:b w:val="0"/>
          <w:sz w:val="18"/>
        </w:rPr>
        <w:t>模块化单体应有清晰依赖方向和稳定接口；插件管理、安全授权、时序存储、流量归属分别作为边界模块。所有操作支持结构化日志、错误码、限时执行及审计。性能预算通过实测确认而不是凭估算固定。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核心原则与不可违反约束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