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系统总体架构与数据流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01-architecture/01-system-overview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架构样式</w:t>
      </w:r>
    </w:p>
    <w:p>
      <w:pPr/>
      <w:r>
        <w:rPr>
          <w:rFonts w:ascii="Noto Sans CJK SC" w:hAnsi="Noto Sans CJK SC" w:eastAsia="Noto Sans CJK SC"/>
          <w:b w:val="0"/>
          <w:sz w:val="18"/>
        </w:rPr>
        <w:t>Homelab Monitor 采用在 Alienware 上部署的 Go 模块化单体 Server；N1 和 Alienware 各部署 Go Agent；OpenWrt 由 Alienware 的远程 Collector 插件主动只读采集。Collector 插件第一版采用原生独立进程，经本机 Unix Socket/gRPC 与 Host 交互。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分层结构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层级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所在节点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Presentation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浏览器 / iPhone PWA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Dashboard、Devices、Network、Explore、Alerts、Settings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API / Auth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 Server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 API、认证授权、Session、审计、查询预算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Domain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 Server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 Registry、Flow Attribution、Alert Engine、Dashboard、Plugin Registry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Collection Control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+ Agent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配置版本对账、插件分发、调度、资源守卫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Collection Execution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/ Plugin Host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收集事实指标，返回测量时间和质量信息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Storage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 SSD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配置、指标、汇总、历史、事件、规则、通知状态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主要数据流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Server 管理用户经审批的期望状态和插件制品。N1 Agent 在认证连接上主动轮询，验证并实施本地安全边界。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N1/Alienware Agent 定期通过 HTTPS 批量上报指标；Newifi 的只读插件在 Alienware 远程读取现有接口。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Ingestion 校验 schema、设备身份和计数器语义，写入统一观测数据模型。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Identity 将 IP/MAC/Agent/Tailscale Node 等带时间窗口的网络身份映射到稳定 Device ID。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Flow Accounting 根据观测点、源设备、网络路径与计数域分类，进行有效增量、去重和覆盖率标注。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Storage 定期聚合，Alert Engine 读取已经采集的数据并评估规则，通知调度器根据用户订阅推送。</w:t>
      </w:r>
    </w:p>
    <w:p>
      <w:pPr>
        <w:pStyle w:val="ListNumber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Web 的所有 Widget / Explore 查询同一受控 Query Service；页面请求不直接触发 Collector 采样。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禁止的依赖方向</w:t>
      </w:r>
    </w:p>
    <w:p>
      <w:pPr/>
      <w:r>
        <w:rPr>
          <w:rFonts w:ascii="Noto Sans CJK SC" w:hAnsi="Noto Sans CJK SC" w:eastAsia="Noto Sans CJK SC"/>
          <w:b w:val="0"/>
          <w:sz w:val="18"/>
        </w:rPr>
        <w:t>插件不能直接操作全局数据库、用户管理和 Web Push；Server 不应向 Agent 下发自由格式 Shell 指令；Web / Widget 不应直接调用 Newifi/N1 采集 API；流量统计不得控制真实转发路径。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演进策略</w:t>
      </w:r>
    </w:p>
    <w:p>
      <w:pPr/>
      <w:r>
        <w:rPr>
          <w:rFonts w:ascii="Noto Sans CJK SC" w:hAnsi="Noto Sans CJK SC" w:eastAsia="Noto Sans CJK SC"/>
          <w:b w:val="0"/>
          <w:sz w:val="18"/>
        </w:rPr>
        <w:t>保留模块化单体基础，不预先引入 Kafka、Kubernetes、服务发现、插件市场。性能瓶颈通过指标实测确认后再评估拆分。集成与模块 API 要先保持可替换的清晰界限，而不是过早微服务化。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系统总体架构与数据流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