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 模块边界与依赖约束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01-architecture/02-module-boundaries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模块划分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所有权及数据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对外能力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identity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Device、IdentityBinding、接口、信任来源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设备合并/拆分、解析、历史关联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topology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二层接入、路由、Tailnet 关系与证据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时间化关系查询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metrics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Descriptor、Envelope、Counter/Gauge 校验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接收标准化指标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ingestion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批量入站、校验、幂等和限流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写入受控观测数据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timeseries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原始数据、分层汇总与质量位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查询、汇总、保留清理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flow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Internet/LAN/Tailnet 计量与去重账本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分类流量查询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plugins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包、签名、版本、期望/实际状态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制品分发与部署管理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collectors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Remote Host / Agent 协同配置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调度、限时执行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alerting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规则版本、评估、Incident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告警查询及状态迁移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notifications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投递任务、订阅、静默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Push、站内通知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auth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用户、角色、Session、设备凭据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登录、鉴权、凭据生命周期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dashboards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Dashboard、Widget、草稿与发布版本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受权布局操作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统一读模型、查询预算、缓存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Widget、Explore、导出 API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operations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自身指标、资源预算、审计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健康及管理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Go 包职责原则</w:t>
      </w:r>
    </w:p>
    <w:p>
      <w:pPr/>
      <w:r>
        <w:rPr>
          <w:rFonts w:ascii="Noto Sans CJK SC" w:hAnsi="Noto Sans CJK SC" w:eastAsia="Noto Sans CJK SC"/>
          <w:b w:val="0"/>
          <w:sz w:val="18"/>
        </w:rPr>
        <w:t xml:space="preserve">建议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cmd/server</w:t>
      </w:r>
      <w:r>
        <w:rPr>
          <w:rFonts w:ascii="Noto Sans CJK SC" w:hAnsi="Noto Sans CJK SC" w:eastAsia="Noto Sans CJK SC"/>
          <w:b w:val="0"/>
          <w:sz w:val="18"/>
        </w:rPr>
        <w:t xml:space="preserve"> 与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cmd/agent</w:t>
      </w:r>
      <w:r>
        <w:rPr>
          <w:rFonts w:ascii="Noto Sans CJK SC" w:hAnsi="Noto Sans CJK SC" w:eastAsia="Noto Sans CJK SC"/>
          <w:b w:val="0"/>
          <w:sz w:val="18"/>
        </w:rPr>
        <w:t xml:space="preserve"> 为启动入口；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internal/server/&lt;domain&gt;</w:t>
      </w:r>
      <w:r>
        <w:rPr>
          <w:rFonts w:ascii="Noto Sans CJK SC" w:hAnsi="Noto Sans CJK SC" w:eastAsia="Noto Sans CJK SC"/>
          <w:b w:val="0"/>
          <w:sz w:val="18"/>
        </w:rPr>
        <w:t xml:space="preserve"> 和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internal/agent/&lt;domain&gt;</w:t>
      </w:r>
      <w:r>
        <w:rPr>
          <w:rFonts w:ascii="Noto Sans CJK SC" w:hAnsi="Noto Sans CJK SC" w:eastAsia="Noto Sans CJK SC"/>
          <w:b w:val="0"/>
          <w:sz w:val="18"/>
        </w:rPr>
        <w:t xml:space="preserve"> 隔离执行模式；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pkg/protocol</w:t>
      </w:r>
      <w:r>
        <w:rPr>
          <w:rFonts w:ascii="Noto Sans CJK SC" w:hAnsi="Noto Sans CJK SC" w:eastAsia="Noto Sans CJK SC"/>
          <w:b w:val="0"/>
          <w:sz w:val="18"/>
        </w:rPr>
        <w:t xml:space="preserve"> 或内部 versioned contract 保存跨进程公共模型。具体目录命名可以与现有仓库适配，不应直接覆盖当前目录结构。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每个模块暴露应用级接口，不允许跨域直接读写彼此的存储表。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插件跨进程契约是版本化 Protobuf；Go 内部模块接口无需在第一版全部定义为 RPC。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数据访问依赖方向为 Web/API → 业务域 → 仓储接口 → 存储实现；禁止基础采集依赖 Web 组件。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所有跨域命令携带调用者身份、目标 Device ID、截止时间、版本和审计上下文。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观察数据的事实字段保持不可变；归属关系和聚合派生值允许版本化更正。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任务调度与事件</w:t>
      </w:r>
    </w:p>
    <w:p>
      <w:pPr/>
      <w:r>
        <w:rPr>
          <w:rFonts w:ascii="Noto Sans CJK SC" w:hAnsi="Noto Sans CJK SC" w:eastAsia="Noto Sans CJK SC"/>
          <w:b w:val="0"/>
          <w:sz w:val="18"/>
        </w:rPr>
        <w:t>定期采集由 Host/Agent 调度器负责；历史聚合、告警评估与通知由 Server 内部受控工作队列执行。第一版可使用有界内存队列加持久化任务状态，不引入外部 Message Broker。跨域事件需定义幂等键和失败重放策略。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模块测试边界</w:t>
      </w:r>
    </w:p>
    <w:p>
      <w:pPr/>
      <w:r>
        <w:rPr>
          <w:rFonts w:ascii="Noto Sans CJK SC" w:hAnsi="Noto Sans CJK SC" w:eastAsia="Noto Sans CJK SC"/>
          <w:b w:val="0"/>
          <w:sz w:val="18"/>
        </w:rPr>
        <w:t>同域单测使用依赖注入；协议兼容测试验证 Protobuf、HTTP Schema；端到端测试用模拟插件和数据库测试实例，禁止以实际停用 N1 网络服务作为自动化测试手段。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模块边界与依赖约束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