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部署拓扑与系统依赖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01-architecture/03-deployment-topology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当前已核实的物理连接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设备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接口与地址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业务职责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上级光猫/网关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192.168.1.1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外部接入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D2/OpenWrt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WAN 192.168.1.2；LAN 192.168.10.1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NAT、DHCP、Wi-Fi、主路由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Alienware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LAN1；192.168.10.3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Server、Agent、Web、数据库、Docker/Tailscale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Armbian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LAN3；192.168.10.2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sing-box、旁路由、Tailscale Exit Node、Agent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WLAN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phy0-ap0 2.4G、phy1-ap0 5G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无线客户端接入</w:t>
            </w:r>
          </w:p>
        </w:tc>
      </w:tr>
    </w:tbl>
    <w:p>
      <w:pPr/>
      <w:r>
        <w:rPr>
          <w:rFonts w:ascii="Noto Sans CJK SC" w:hAnsi="Noto Sans CJK SC" w:eastAsia="Noto Sans CJK SC"/>
          <w:b w:val="0"/>
          <w:sz w:val="18"/>
        </w:rPr>
        <w:t>以上接线通过 OpenWrt ARP MAC、Bridge FDB 和 brport/port_no 验证；其他 Wi-Fi 客户端数量为历史快照，不能当作当前在线清单。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进程位置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Alienware：Go Server、Web 静态资源/受控 API、本机 Agent、远程 Newifi Collector Plugin Host、业务元数据及指标数据库、通知调度器。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N1：非 root Go Agent、独立进程插件与受限运行时；不部署历史库，不接管 sing-box 或 Tailscale 网络控制。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Newifi：无新增常驻 Agent，保留现有 Dropbear/ubus 等可用接口，通过经认证的受限只读查询采集。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网络入口</w:t>
      </w:r>
    </w:p>
    <w:p>
      <w:pPr/>
      <w:r>
        <w:rPr>
          <w:rFonts w:ascii="Noto Sans CJK SC" w:hAnsi="Noto Sans CJK SC" w:eastAsia="Noto Sans CJK SC"/>
          <w:b w:val="0"/>
          <w:sz w:val="18"/>
        </w:rPr>
        <w:t>Web 仅 LAN 与 Tailnet 访问；Agent 从 N1 主动连接 Alienware LAN 地址，不依赖 Exit Node；插件 IPC 使用 Unix Domain Socket，不开放新的 LAN 入站监听。远端浏览器通过 Tailscale 安全访问，LAN 端浏览器需独立可信 HTTPS 方案。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现有服务冲突</w:t>
      </w:r>
    </w:p>
    <w:p>
      <w:pPr/>
      <w:r>
        <w:rPr>
          <w:rFonts w:ascii="Noto Sans CJK SC" w:hAnsi="Noto Sans CJK SC" w:eastAsia="Noto Sans CJK SC"/>
          <w:b w:val="0"/>
          <w:sz w:val="18"/>
        </w:rPr>
        <w:t>Alienware 的 Tailscale Serve 已曾为 CouchDB 提供 443 HTTPS 入口，新的 Web 必须先检查路径、域名和反向代理分配，不能覆盖既有服务。Server 与 Agent 使用独立受控服务端口或路由，具体端口实施阶段确定。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单节点容错范围</w:t>
      </w:r>
    </w:p>
    <w:p>
      <w:pPr/>
      <w:r>
        <w:rPr>
          <w:rFonts w:ascii="Noto Sans CJK SC" w:hAnsi="Noto Sans CJK SC" w:eastAsia="Noto Sans CJK SC"/>
          <w:b w:val="0"/>
          <w:sz w:val="18"/>
        </w:rPr>
        <w:t>Alienware 按长期运行设计；整机关机允许无历史补录、无通知、无高可用切换。但 Newifi 和 N1 的网络职责必须独立于监控系统；Server 不可用时 Agent 限频重试，必要时减少或暂停非必需采集。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存储位置</w:t>
      </w:r>
    </w:p>
    <w:p>
      <w:pPr/>
      <w:r>
        <w:rPr>
          <w:rFonts w:ascii="Noto Sans CJK SC" w:hAnsi="Noto Sans CJK SC" w:eastAsia="Noto Sans CJK SC"/>
          <w:b w:val="0"/>
          <w:sz w:val="18"/>
        </w:rPr>
        <w:t>监控数据库写入 Alienware SSD；禁止默认触发 1TB HDD 唤醒。Newifi 不持久化历史指标。Agent 仅保存运行必需的插件安装清单、当前版本、回滚元数据及少量状态，不保存大规模离线数据队列。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部署拓扑与系统依赖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