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Agent—Server 通信与配置一致性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01-architecture/04-agent-server-control-plane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传输建议（本轮按推荐纳入）</w:t>
      </w:r>
    </w:p>
    <w:p>
      <w:pPr/>
      <w:r>
        <w:rPr>
          <w:rFonts w:ascii="Noto Sans CJK SC" w:hAnsi="Noto Sans CJK SC" w:eastAsia="Noto Sans CJK SC"/>
          <w:b w:val="0"/>
          <w:sz w:val="18"/>
        </w:rPr>
        <w:t>HTTPS + Agent 主动轮询。数据平面使用限额批量 POST；控制平面提供期望状态查询及实际状态确认；制品采用按需认证下载。插件 ↔ Plugin Host 使用已经明确确认的 gRPC over Unix Socket，二者是不同协议层。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控制平面对象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cantSplit/>
          <w:tblHeader w:val="true"/>
        </w:trPr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意义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desired_revision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Server 期望配置单调版本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observed_revision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Agent 已完成检查的版本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applied_revision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已成功激活的有效版本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desired_hash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规范化配置内容摘要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applied_hash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本地已生效配置摘要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refusal_reason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本地兼容性、资源或权限拒绝原因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last_reconciled_at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最近实际对账时刻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对账算法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Agent 以独立设备身份与 Server 建立 TLS 连接，读取适用于自己的期望配置和版本。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未变化时采用条件请求或轻量应答；有变化时先校验目标设备、协议、策略、签名、磁盘空间、资源预算。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对插件升级执行下载、校验、预备、激活、健康观察、提交或回滚；对不兼容配置拒绝执行。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 xml:space="preserve">Agent 回报 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observed_revision</w:t>
      </w:r>
      <w:r>
        <w:rPr>
          <w:rFonts w:ascii="Noto Sans CJK SC" w:hAnsi="Noto Sans CJK SC" w:eastAsia="Noto Sans CJK SC"/>
          <w:b w:val="0"/>
          <w:sz w:val="18"/>
        </w:rPr>
        <w:t xml:space="preserve"> 与 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applied_revision</w:t>
      </w:r>
      <w:r>
        <w:rPr>
          <w:rFonts w:ascii="Noto Sans CJK SC" w:hAnsi="Noto Sans CJK SC" w:eastAsia="Noto Sans CJK SC"/>
          <w:b w:val="0"/>
          <w:sz w:val="18"/>
        </w:rPr>
        <w:t>，Server 保留不一致状态和审计，不能将发送成功当作生效成功。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期望状态重复出现应幂等，不重复下载或重启插件；旧响应不能覆盖新版本。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通道职责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通道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请求语义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保护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Telemetry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指标批量、心跳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独立容量、拒绝无限缓存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Control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期望状态与上报结果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版本校验、审计、重放防护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Artifact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制品下载与校验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哈希、签名、限速、断点策略待定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设备认证建议</w:t>
      </w:r>
    </w:p>
    <w:p>
      <w:pPr/>
      <w:r>
        <w:rPr>
          <w:rFonts w:ascii="Noto Sans CJK SC" w:hAnsi="Noto Sans CJK SC" w:eastAsia="Noto Sans CJK SC"/>
          <w:b w:val="0"/>
          <w:sz w:val="18"/>
        </w:rPr>
        <w:t>TLS 校验 Server；各 Agent 独立设备级令牌（服务器只存校验凭据，scope 绑定 Device ID），预留未来 mTLS 和 CA 轮换。首次注册采用一次性批准及最小范围 bootstrap 凭据。令牌不与用户 Session 或 Newifi SSH 密钥共享。mTLS 是否首版替代 Token 保留实施前安全复核，不影响数据模型。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故障策略</w:t>
      </w:r>
    </w:p>
    <w:p>
      <w:pPr/>
      <w:r>
        <w:rPr>
          <w:rFonts w:ascii="Noto Sans CJK SC" w:hAnsi="Noto Sans CJK SC" w:eastAsia="Noto Sans CJK SC"/>
          <w:b w:val="0"/>
          <w:sz w:val="18"/>
        </w:rPr>
        <w:t>Server 不可达时不修改插件运行状态，不无限重试；上报缓存有界，不做离线历史补录；Server 恢复后对账并重检当前数据有效时间。网络通道绝不提供任意 Shell/脚本/端口转发能力。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79" w:right="1134" w:bottom="85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6" w:line="257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Agent—Server 通信与配置一致性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