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Collector 插件接口与 SDK 契约</w:t>
      </w:r>
    </w:p>
    <w:p>
      <w:pPr>
        <w:spacing w:after="240"/>
      </w:pPr>
      <w:r>
        <w:rPr>
          <w:rFonts w:ascii="Noto Sans CJK SC" w:hAnsi="Noto Sans CJK SC" w:eastAsia="Noto Sans CJK SC"/>
          <w:b w:val="0"/>
          <w:color w:val="68727E"/>
          <w:sz w:val="15"/>
        </w:rPr>
        <w:t>ARCHITECTURE PLANNING  ·  02-plugins/01-plugin-contract  ·  2026-10-17</w:t>
      </w:r>
    </w:p>
    <w:p>
      <w:pPr>
        <w:spacing w:after="200"/>
      </w:pPr>
      <w:r>
        <w:rPr>
          <w:rFonts w:ascii="Noto Sans CJK SC" w:hAnsi="Noto Sans CJK SC" w:eastAsia="Noto Sans CJK SC"/>
          <w:b/>
          <w:color w:val="8C5B2E"/>
          <w:sz w:val="16"/>
        </w:rPr>
        <w:t>规划文档 · 尚未实施 · 已确认决策与按推荐采纳的方案在决策台账中分列。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运行时类型</w:t>
      </w:r>
    </w:p>
    <w:p>
      <w:pPr/>
      <w:r>
        <w:rPr>
          <w:rFonts w:ascii="Noto Sans CJK SC" w:hAnsi="Noto Sans CJK SC" w:eastAsia="Noto Sans CJK SC"/>
          <w:b w:val="0"/>
          <w:sz w:val="18"/>
        </w:rPr>
        <w:t xml:space="preserve">首版只有 native Linux 原生独立进程插件。每包通常一个进程，可在包内包含多个 Collector；安全敏感或高成本插件允许进一步拆分。暂不开发 Go 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.so</w:t>
      </w:r>
      <w:r>
        <w:rPr>
          <w:rFonts w:ascii="Noto Sans CJK SC" w:hAnsi="Noto Sans CJK SC" w:eastAsia="Noto Sans CJK SC"/>
          <w:b w:val="0"/>
          <w:sz w:val="18"/>
        </w:rPr>
        <w:t xml:space="preserve"> 动态加载、WASM 双运行时或插件市场。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Manifest 最小模型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3"/>
        <w:gridCol w:w="4943"/>
      </w:tblGrid>
      <w:tr>
        <w:trPr>
          <w:cantSplit/>
          <w:tblHeader w:val="true"/>
        </w:trPr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字段</w:t>
            </w:r>
          </w:p>
        </w:tc>
        <w:tc>
          <w:tcPr>
            <w:tcW w:type="dxa" w:w="4943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定义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plugin_id / version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不可变的全局插件身份和语义版本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publisher / signature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可信发布者和签名信息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platform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OS / 架构 / ABI 与二进制适配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protocol_range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Plugin API 兼容的协议范围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metric_schema_versions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声明输出兼容的指标模型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collectors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包含的 Collector 能力列表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permissions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需要读取的系统资源、网络终点与特权能力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resource_profile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候选常驻内存、CPU、超时及启动成本</w:t>
            </w:r>
          </w:p>
        </w:tc>
      </w:tr>
      <w:tr>
        <w:trPr>
          <w:cantSplit/>
        </w:trPr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config_schema</w:t>
            </w:r>
          </w:p>
        </w:tc>
        <w:tc>
          <w:tcPr>
            <w:tcW w:type="dxa" w:w="4943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不含密钥值的受控配置约束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gRPC 本机契约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6"/>
        <w:gridCol w:w="3296"/>
        <w:gridCol w:w="3296"/>
      </w:tblGrid>
      <w:tr>
        <w:trPr>
          <w:cantSplit/>
          <w:tblHeader w:val="true"/>
        </w:trPr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方法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语义</w:t>
            </w:r>
          </w:p>
        </w:tc>
        <w:tc>
          <w:tcPr>
            <w:tcW w:type="dxa" w:w="3296"/>
            <w:vAlign w:val="center"/>
            <w:shd w:fill="E8F1F6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/>
                <w:sz w:val="15"/>
              </w:rPr>
              <w:t>必须保证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Handshake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Host/插件身份、协议能力握手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拒绝不兼容版本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Describe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返回 Collector、Metrics 描述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只返回静态能力，不触发采集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ValidateConfig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无副作用预检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禁止通过校验执行采集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以指定 Deadline 返回有界结果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可取消、限额、完整错误码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Health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获取插件自身状态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不混淆目标设备是否在线</w:t>
            </w:r>
          </w:p>
        </w:tc>
      </w:tr>
      <w:tr>
        <w:trPr>
          <w:cantSplit/>
        </w:trPr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Shutdown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受控关闭</w:t>
            </w:r>
          </w:p>
        </w:tc>
        <w:tc>
          <w:tcPr>
            <w:tcW w:type="dxa" w:w="3296"/>
            <w:vAlign w:val="center"/>
          </w:tcPr>
          <w:p>
            <w:pPr>
              <w:spacing w:after="36" w:before="36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有超时，必要时由 Supervisor 终止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统一指标描述</w:t>
      </w:r>
    </w:p>
    <w:p>
      <w:pPr/>
      <w:r>
        <w:rPr>
          <w:rFonts w:ascii="Noto Sans CJK SC" w:hAnsi="Noto Sans CJK SC" w:eastAsia="Noto Sans CJK SC"/>
          <w:b w:val="0"/>
          <w:sz w:val="18"/>
        </w:rPr>
        <w:t>Descriptor 包含 metric_id、type(counter/gauge/state/event)、unit、label schema、source_kind、data_quality、默认允许聚合方式和访问权限。插件不得决定用户权限或直接写数据库。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observed_at</w:t>
      </w:r>
      <w:r>
        <w:rPr>
          <w:rFonts w:ascii="Noto Sans CJK SC" w:hAnsi="Noto Sans CJK SC" w:eastAsia="Noto Sans CJK SC"/>
          <w:b w:val="0"/>
          <w:sz w:val="18"/>
        </w:rPr>
        <w:t xml:space="preserve"> 为实际测量时刻，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received_at</w:t>
      </w:r>
      <w:r>
        <w:rPr>
          <w:rFonts w:ascii="Noto Sans CJK SC" w:hAnsi="Noto Sans CJK SC" w:eastAsia="Noto Sans CJK SC"/>
          <w:b w:val="0"/>
          <w:sz w:val="18"/>
        </w:rPr>
        <w:t xml:space="preserve"> 由 Server 记录；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source_id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plugin_id</w:t>
      </w:r>
      <w:r>
        <w:rPr>
          <w:rFonts w:ascii="Noto Sans CJK SC" w:hAnsi="Noto Sans CJK SC" w:eastAsia="Noto Sans CJK SC"/>
          <w:b w:val="0"/>
          <w:sz w:val="18"/>
        </w:rPr>
        <w:t>、</w:t>
      </w:r>
      <w:r>
        <w:rPr>
          <w:rFonts w:ascii="Noto Sans Mono CJK SC" w:hAnsi="Noto Sans Mono CJK SC" w:eastAsia="Noto Sans Mono CJK SC"/>
          <w:b w:val="0"/>
          <w:color w:val="235066"/>
          <w:sz w:val="17"/>
        </w:rPr>
        <w:t>collector_version</w:t>
      </w:r>
      <w:r>
        <w:rPr>
          <w:rFonts w:ascii="Noto Sans CJK SC" w:hAnsi="Noto Sans CJK SC" w:eastAsia="Noto Sans CJK SC"/>
          <w:b w:val="0"/>
          <w:sz w:val="18"/>
        </w:rPr>
        <w:t xml:space="preserve"> 用于来源审计。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低级能力与特殊场景</w:t>
      </w:r>
    </w:p>
    <w:p>
      <w:pPr/>
      <w:r>
        <w:rPr>
          <w:rFonts w:ascii="Noto Sans CJK SC" w:hAnsi="Noto Sans CJK SC" w:eastAsia="Noto Sans CJK SC"/>
          <w:b w:val="0"/>
          <w:sz w:val="18"/>
        </w:rPr>
        <w:t>插件只应通过最小接口报告事实数据；Agent/Server 统一执行跨设备身份归属、指标汇总和告警判断。Newifi 远程 Collector 可以运行在 Alienware Host，提供目标 Endpoint 的受限查询参数；Newifi 的高权限密钥不能传入任意插件进程。</w:t>
      </w:r>
    </w:p>
    <w:p>
      <w:pPr>
        <w:pStyle w:val="Heading1"/>
      </w:pPr>
      <w:r>
        <w:rPr>
          <w:rFonts w:ascii="Noto Sans CJK SC" w:hAnsi="Noto Sans CJK SC" w:eastAsia="Noto Sans CJK SC"/>
          <w:b w:val="0"/>
          <w:sz w:val="26"/>
        </w:rPr>
        <w:t>协议演进</w:t>
      </w:r>
    </w:p>
    <w:p>
      <w:pPr/>
      <w:r>
        <w:rPr>
          <w:rFonts w:ascii="Noto Sans CJK SC" w:hAnsi="Noto Sans CJK SC" w:eastAsia="Noto Sans CJK SC"/>
          <w:b w:val="0"/>
          <w:sz w:val="18"/>
        </w:rPr>
        <w:t>重大不兼容使用 API major 版本升级；扩展字段优先采用向后兼容定义；未知字段可忽略但不能猜测未知类型；Metric Schema 单独升级并提供 Adapter。Host 应持续执行 SDK contract tests 和跨版本握手测试。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79" w:right="1134" w:bottom="850" w:left="1219" w:header="397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37382"/>
        <w:sz w:val="14"/>
      </w:rPr>
      <w:t>Homelab Monitor  |  Architecture Docs  |  2026-10-17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406C84"/>
        <w:sz w:val="14"/>
      </w:rPr>
      <w:t>HOMELAB MONITOR  /  ARCHITECTURE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6" w:line="257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85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3851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Collector 插件接口与 SDK 契约</dc:title>
  <dc:subject>Homelab Monitor architecture planning</dc:subject>
  <dc:creator>Homelab Monitor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