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插件授权、沙箱与资源配额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02-plugins/04-plugin-trust-and-resources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威胁模型</w:t>
      </w:r>
    </w:p>
    <w:p>
      <w:pPr/>
      <w:r>
        <w:rPr>
          <w:rFonts w:ascii="Noto Sans CJK SC" w:hAnsi="Noto Sans CJK SC" w:eastAsia="Noto Sans CJK SC"/>
          <w:b w:val="0"/>
          <w:sz w:val="18"/>
        </w:rPr>
        <w:t>插件可能卡死、耗尽 CPU/内存、泄露凭据、滥用网络或读取与采集无关的数据。签名解决制品来源真实性，不等于解决代码可信性。进程级隔离主要限制故障传播，还需显式最小权限和资源边界。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授权模型</w:t>
      </w:r>
    </w:p>
    <w:p>
      <w:pPr/>
      <w:r>
        <w:rPr>
          <w:rFonts w:ascii="Noto Sans CJK SC" w:hAnsi="Noto Sans CJK SC" w:eastAsia="Noto Sans CJK SC"/>
          <w:b w:val="0"/>
          <w:sz w:val="18"/>
        </w:rPr>
        <w:t xml:space="preserve">Owner 批准插件包及其能力声明；Host 校验实际系统权限。建议权限按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read:proc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read:sys_net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read:service_status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remote:openwrt_metrics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local:tailscale_metrics</w:t>
      </w:r>
      <w:r>
        <w:rPr>
          <w:rFonts w:ascii="Noto Sans CJK SC" w:hAnsi="Noto Sans CJK SC" w:eastAsia="Noto Sans CJK SC"/>
          <w:b w:val="0"/>
          <w:sz w:val="18"/>
        </w:rPr>
        <w:t xml:space="preserve"> 等受控语义分类。需要新增权限的升级一律重新审批，不能自动继承更宽权限。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凭据与执行隔离</w:t>
      </w:r>
    </w:p>
    <w:p>
      <w:pPr/>
      <w:r>
        <w:rPr>
          <w:rFonts w:ascii="Noto Sans CJK SC" w:hAnsi="Noto Sans CJK SC" w:eastAsia="Noto Sans CJK SC"/>
          <w:b w:val="0"/>
          <w:sz w:val="18"/>
        </w:rPr>
        <w:t>Newifi SSH 私钥、Agent 注册凭据、Push 私钥均由相应可信模块持有；不得注入普通插件环境变量、命令行或日志。需通过受限中介接口将采集结果返回，禁止插件获得全局用户或设备管理 Token。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多级预算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层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预算项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保护行为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Scheduler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周期、并发、Deadline、队列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拒绝或跳过低优先级任务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Runtime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RPC 大小、最大结果行数、日志速率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拒绝无界响应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OS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CPU、RSS、Tasks、FD、文件/网络访问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限额、隔离、终止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Supervisor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重启次数与退避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熔断，停止重复启动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Server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下载并发、带宽及 Artifact 配额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限速，不拖慢正常上报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失败安全原则</w:t>
      </w:r>
    </w:p>
    <w:p>
      <w:pPr/>
      <w:r>
        <w:rPr>
          <w:rFonts w:ascii="Noto Sans CJK SC" w:hAnsi="Noto Sans CJK SC" w:eastAsia="Noto Sans CJK SC"/>
          <w:b w:val="0"/>
          <w:sz w:val="18"/>
        </w:rPr>
        <w:t>采集不足与插件停用必须被标记为数据缺失，不得制造“零负载”或“服务运行正常”的伪数据。失效插件的状态更新必须可审计。N1 的业务服务不得成为 Plugin Host 的子进程或生命周期附属对象。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实施前必须核实</w:t>
      </w:r>
    </w:p>
    <w:p>
      <w:pPr/>
      <w:r>
        <w:rPr>
          <w:rFonts w:ascii="Noto Sans CJK SC" w:hAnsi="Noto Sans CJK SC" w:eastAsia="Noto Sans CJK SC"/>
          <w:b w:val="0"/>
          <w:sz w:val="18"/>
        </w:rPr>
        <w:t>systemd 版本、cgroup v2 delegation、实际用户权限、必要只读系统访问、沙箱对 Tailscale/sing-box API 的影响。未验证前不能把 Resource Guard 的设计目标当作已经存在的 OS 强隔离。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插件授权、沙箱与资源配额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