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指标契约、采集流水线与数据质量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03-data/01-metrics-and-pipeline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指标事件主线</w:t>
      </w:r>
    </w:p>
    <w:p>
      <w:pPr/>
      <w:r>
        <w:rPr>
          <w:rFonts w:ascii="Noto Sans CJK SC" w:hAnsi="Noto Sans CJK SC" w:eastAsia="Noto Sans CJK SC"/>
          <w:b w:val="0"/>
          <w:sz w:val="18"/>
        </w:rPr>
        <w:t>Collector → Plugin Host → Agent/Remote Executor → Ingestion → Normalization → Time-Series Store → Aggregator / Query / Alert。原始观测保留源设备、采集位置、测量时间和可解释的计数口径；Web 查询绝不直接催促被监控设备额外采样。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Metric Envelope 最小字段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描述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schema_version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指标消息版本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source_id / collector_id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观测来源与采集器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observed_at / received_at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测量时间与接收时间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device_identity_hint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 IP/MAC/Agent/Node ID 等候选身份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metric_id / value / unit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稳定指标 ID、数值和单位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metric_type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Counter / Gauge / State / Event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labels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受限标签集合，禁止高基数字段滥用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scope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interface / station / transport / device / egress 等计数域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quality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valid、partial、estimated、missing、reset、stale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source_revision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采集协议、插件或配置版本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计数语义</w:t>
      </w:r>
    </w:p>
    <w:p>
      <w:pPr/>
      <w:r>
        <w:rPr>
          <w:rFonts w:ascii="Noto Sans CJK SC" w:hAnsi="Noto Sans CJK SC" w:eastAsia="Noto Sans CJK SC"/>
          <w:b w:val="0"/>
          <w:sz w:val="18"/>
        </w:rPr>
        <w:t>Counter 先计算两个连续有效快照之间的增量，识别设备重启、接口重新关联、计数器回绕与非单调变化；缺失期间不得默认把流量设为零。Gauge 使用时间加权统计时必须对缺口进行标记，不允许把采样频率不同的 Gauge 简单求和。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标准化与安全</w:t>
      </w:r>
    </w:p>
    <w:p>
      <w:pPr/>
      <w:r>
        <w:rPr>
          <w:rFonts w:ascii="Noto Sans CJK SC" w:hAnsi="Noto Sans CJK SC" w:eastAsia="Noto Sans CJK SC"/>
          <w:b w:val="0"/>
          <w:sz w:val="18"/>
        </w:rPr>
        <w:t>校验时间漂移、最大批次、标签数量、单位、设备授权、重复消息 ID。对错误或超预算消息明确返回结构化状态，不允许单次恶意插件响应耗尽数据库内存或磁盘。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汇总与查询</w:t>
      </w:r>
    </w:p>
    <w:p>
      <w:pPr/>
      <w:r>
        <w:rPr>
          <w:rFonts w:ascii="Noto Sans CJK SC" w:hAnsi="Noto Sans CJK SC" w:eastAsia="Noto Sans CJK SC"/>
          <w:b w:val="0"/>
          <w:sz w:val="18"/>
        </w:rPr>
        <w:t>基础采样按时间窗口聚合：Counter 的有效增量求和、网络速率可由字节增量与有效时间计算；CPU/内存保存均值/最大/最小；状态保存变迁；事件按事件时间索引。历史聚合不得把未知标记抹掉。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数据质量模型</w:t>
      </w:r>
    </w:p>
    <w:p>
      <w:pPr/>
      <w:r>
        <w:rPr>
          <w:rFonts w:ascii="Noto Sans CJK SC" w:hAnsi="Noto Sans CJK SC" w:eastAsia="Noto Sans CJK SC"/>
          <w:b w:val="0"/>
          <w:sz w:val="18"/>
        </w:rPr>
        <w:t>所有设备级流量必须能够说明观测点、源身份、覆盖起止、未知比例及可能遗漏的路径。历史图表明示数据时区、粒度及状态。失败、stale 和不支持应有独立状态，不能统一显示为 0。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指标契约、采集流水线与数据质量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