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存储、分层聚合与配额架构</w:t>
      </w:r>
    </w:p>
    <w:p>
      <w:pPr>
        <w:spacing w:after="240"/>
      </w:pPr>
      <w:r>
        <w:rPr>
          <w:rFonts w:ascii="Noto Sans CJK SC" w:hAnsi="Noto Sans CJK SC" w:eastAsia="Noto Sans CJK SC"/>
          <w:b w:val="0"/>
          <w:color w:val="68727E"/>
          <w:sz w:val="15"/>
        </w:rPr>
        <w:t>ARCHITECTURE PLANNING  ·  03-data/02-storage-architecture  ·  2026-10-17</w:t>
      </w:r>
    </w:p>
    <w:p>
      <w:pPr>
        <w:spacing w:after="200"/>
      </w:pPr>
      <w:r>
        <w:rPr>
          <w:rFonts w:ascii="Noto Sans CJK SC" w:hAnsi="Noto Sans CJK SC" w:eastAsia="Noto Sans CJK SC"/>
          <w:b/>
          <w:color w:val="8C5B2E"/>
          <w:sz w:val="16"/>
        </w:rPr>
        <w:t>规划文档 · 尚未实施 · 已确认决策与按推荐采纳的方案在决策台账中分列。</w:t>
      </w:r>
    </w:p>
    <w:p>
      <w:pPr>
        <w:pStyle w:val="Heading1"/>
      </w:pPr>
      <w:r>
        <w:rPr>
          <w:rFonts w:ascii="Noto Sans CJK SC" w:hAnsi="Noto Sans CJK SC" w:eastAsia="Noto Sans CJK SC"/>
          <w:b w:val="0"/>
          <w:sz w:val="26"/>
        </w:rPr>
        <w:t>建议存储方案</w:t>
      </w:r>
    </w:p>
    <w:p>
      <w:pPr/>
      <w:r>
        <w:rPr>
          <w:rFonts w:ascii="Noto Sans CJK SC" w:hAnsi="Noto Sans CJK SC" w:eastAsia="Noto Sans CJK SC"/>
          <w:b w:val="0"/>
          <w:sz w:val="18"/>
        </w:rPr>
        <w:t>首版优先评估 SSD 上 SQLite WAL 作为元数据与时序数据的关系型引擎；可按负载将控制面元数据与高频指标拆到不同数据库文件或存储模块。建议先用稳定的 Storage Repository 抽象，不应过早引入独立时序服务、Redis 或消息队列。SQLite 的单写入事务限制应通过批量写入和实测验证。</w:t>
      </w:r>
    </w:p>
    <w:p>
      <w:pPr>
        <w:pStyle w:val="Heading1"/>
      </w:pPr>
      <w:r>
        <w:rPr>
          <w:rFonts w:ascii="Noto Sans CJK SC" w:hAnsi="Noto Sans CJK SC" w:eastAsia="Noto Sans CJK SC"/>
          <w:b w:val="0"/>
          <w:sz w:val="26"/>
        </w:rPr>
        <w:t>数据域</w:t>
      </w:r>
    </w:p>
    <w:tbl>
      <w:tblPr>
        <w:tblStyle w:val="LightShading-Accent1"/>
        <w:tblW w:type="auto" w:w="0"/>
        <w:jc w:val="center"/>
        <w:tblLayout w:type="autofit"/>
        <w:tblLook w:firstColumn="1" w:firstRow="1" w:lastColumn="0" w:lastRow="0" w:noHBand="0" w:noVBand="1" w:val="04A0"/>
      </w:tblPr>
      <w:tblGrid>
        <w:gridCol w:w="3296"/>
        <w:gridCol w:w="3296"/>
        <w:gridCol w:w="3296"/>
      </w:tblGrid>
      <w:tr>
        <w:trPr>
          <w:cantSplit/>
          <w:tblHeader w:val="true"/>
        </w:trPr>
        <w:tc>
          <w:tcPr>
            <w:tcW w:type="dxa" w:w="3296"/>
            <w:vAlign w:val="center"/>
            <w:shd w:fill="E8F1F6"/>
          </w:tcPr>
          <w:p>
            <w:pPr>
              <w:spacing w:after="36" w:before="36"/>
            </w:pPr>
            <w:r>
              <w:rPr>
                <w:rFonts w:ascii="Noto Sans CJK SC" w:hAnsi="Noto Sans CJK SC" w:eastAsia="Noto Sans CJK SC"/>
                <w:b/>
                <w:sz w:val="15"/>
              </w:rPr>
              <w:t>数据域</w:t>
            </w:r>
          </w:p>
        </w:tc>
        <w:tc>
          <w:tcPr>
            <w:tcW w:type="dxa" w:w="3296"/>
            <w:vAlign w:val="center"/>
            <w:shd w:fill="E8F1F6"/>
          </w:tcPr>
          <w:p>
            <w:pPr>
              <w:spacing w:after="36" w:before="36"/>
            </w:pPr>
            <w:r>
              <w:rPr>
                <w:rFonts w:ascii="Noto Sans CJK SC" w:hAnsi="Noto Sans CJK SC" w:eastAsia="Noto Sans CJK SC"/>
                <w:b/>
                <w:sz w:val="15"/>
              </w:rPr>
              <w:t>主要数据</w:t>
            </w:r>
          </w:p>
        </w:tc>
        <w:tc>
          <w:tcPr>
            <w:tcW w:type="dxa" w:w="3296"/>
            <w:vAlign w:val="center"/>
            <w:shd w:fill="E8F1F6"/>
          </w:tcPr>
          <w:p>
            <w:pPr>
              <w:spacing w:after="36" w:before="36"/>
            </w:pPr>
            <w:r>
              <w:rPr>
                <w:rFonts w:ascii="Noto Sans CJK SC" w:hAnsi="Noto Sans CJK SC" w:eastAsia="Noto Sans CJK SC"/>
                <w:b/>
                <w:sz w:val="15"/>
              </w:rPr>
              <w:t>保护重点</w:t>
            </w:r>
          </w:p>
        </w:tc>
      </w:tr>
      <w:tr>
        <w:trPr>
          <w:cantSplit/>
        </w:trPr>
        <w:tc>
          <w:tcPr>
            <w:tcW w:type="dxa" w:w="3296"/>
            <w:vAlign w:val="center"/>
          </w:tcPr>
          <w:p>
            <w:pPr>
              <w:spacing w:after="36" w:before="36"/>
            </w:pPr>
            <w:r>
              <w:rPr>
                <w:rFonts w:ascii="Noto Sans CJK SC" w:hAnsi="Noto Sans CJK SC" w:eastAsia="Noto Sans CJK SC"/>
                <w:b w:val="0"/>
                <w:sz w:val="15"/>
              </w:rPr>
              <w:t>Core Metadata</w:t>
            </w:r>
          </w:p>
        </w:tc>
        <w:tc>
          <w:tcPr>
            <w:tcW w:type="dxa" w:w="3296"/>
            <w:vAlign w:val="center"/>
          </w:tcPr>
          <w:p>
            <w:pPr>
              <w:spacing w:after="36" w:before="36"/>
            </w:pPr>
            <w:r>
              <w:rPr>
                <w:rFonts w:ascii="Noto Sans CJK SC" w:hAnsi="Noto Sans CJK SC" w:eastAsia="Noto Sans CJK SC"/>
                <w:b w:val="0"/>
                <w:sz w:val="15"/>
              </w:rPr>
              <w:t>用户、Session、Device、Identity、Plugin、Desired State</w:t>
            </w:r>
          </w:p>
        </w:tc>
        <w:tc>
          <w:tcPr>
            <w:tcW w:type="dxa" w:w="3296"/>
            <w:vAlign w:val="center"/>
          </w:tcPr>
          <w:p>
            <w:pPr>
              <w:spacing w:after="36" w:before="36"/>
            </w:pPr>
            <w:r>
              <w:rPr>
                <w:rFonts w:ascii="Noto Sans CJK SC" w:hAnsi="Noto Sans CJK SC" w:eastAsia="Noto Sans CJK SC"/>
                <w:b w:val="0"/>
                <w:sz w:val="15"/>
              </w:rPr>
              <w:t>不受指标库清理影响</w:t>
            </w:r>
          </w:p>
        </w:tc>
      </w:tr>
      <w:tr>
        <w:trPr>
          <w:cantSplit/>
        </w:trPr>
        <w:tc>
          <w:tcPr>
            <w:tcW w:type="dxa" w:w="3296"/>
            <w:vAlign w:val="center"/>
          </w:tcPr>
          <w:p>
            <w:pPr>
              <w:spacing w:after="36" w:before="36"/>
            </w:pPr>
            <w:r>
              <w:rPr>
                <w:rFonts w:ascii="Noto Sans CJK SC" w:hAnsi="Noto Sans CJK SC" w:eastAsia="Noto Sans CJK SC"/>
                <w:b w:val="0"/>
                <w:sz w:val="15"/>
              </w:rPr>
              <w:t>Time Series</w:t>
            </w:r>
          </w:p>
        </w:tc>
        <w:tc>
          <w:tcPr>
            <w:tcW w:type="dxa" w:w="3296"/>
            <w:vAlign w:val="center"/>
          </w:tcPr>
          <w:p>
            <w:pPr>
              <w:spacing w:after="36" w:before="36"/>
            </w:pPr>
            <w:r>
              <w:rPr>
                <w:rFonts w:ascii="Noto Sans CJK SC" w:hAnsi="Noto Sans CJK SC" w:eastAsia="Noto Sans CJK SC"/>
                <w:b w:val="0"/>
                <w:sz w:val="15"/>
              </w:rPr>
              <w:t>原始测量、分钟/小时/日聚合</w:t>
            </w:r>
          </w:p>
        </w:tc>
        <w:tc>
          <w:tcPr>
            <w:tcW w:type="dxa" w:w="3296"/>
            <w:vAlign w:val="center"/>
          </w:tcPr>
          <w:p>
            <w:pPr>
              <w:spacing w:after="36" w:before="36"/>
            </w:pPr>
            <w:r>
              <w:rPr>
                <w:rFonts w:ascii="Noto Sans CJK SC" w:hAnsi="Noto Sans CJK SC" w:eastAsia="Noto Sans CJK SC"/>
                <w:b w:val="0"/>
                <w:sz w:val="15"/>
              </w:rPr>
              <w:t>配额、自动过期、分层查询</w:t>
            </w:r>
          </w:p>
        </w:tc>
      </w:tr>
      <w:tr>
        <w:trPr>
          <w:cantSplit/>
        </w:trPr>
        <w:tc>
          <w:tcPr>
            <w:tcW w:type="dxa" w:w="3296"/>
            <w:vAlign w:val="center"/>
          </w:tcPr>
          <w:p>
            <w:pPr>
              <w:spacing w:after="36" w:before="36"/>
            </w:pPr>
            <w:r>
              <w:rPr>
                <w:rFonts w:ascii="Noto Sans CJK SC" w:hAnsi="Noto Sans CJK SC" w:eastAsia="Noto Sans CJK SC"/>
                <w:b w:val="0"/>
                <w:sz w:val="15"/>
              </w:rPr>
              <w:t>Flow Ledger</w:t>
            </w:r>
          </w:p>
        </w:tc>
        <w:tc>
          <w:tcPr>
            <w:tcW w:type="dxa" w:w="3296"/>
            <w:vAlign w:val="center"/>
          </w:tcPr>
          <w:p>
            <w:pPr>
              <w:spacing w:after="36" w:before="36"/>
            </w:pPr>
            <w:r>
              <w:rPr>
                <w:rFonts w:ascii="Noto Sans CJK SC" w:hAnsi="Noto Sans CJK SC" w:eastAsia="Noto Sans CJK SC"/>
                <w:b w:val="0"/>
                <w:sz w:val="15"/>
              </w:rPr>
              <w:t>设备方向、出站、Exit Node 账本及覆盖质量</w:t>
            </w:r>
          </w:p>
        </w:tc>
        <w:tc>
          <w:tcPr>
            <w:tcW w:type="dxa" w:w="3296"/>
            <w:vAlign w:val="center"/>
          </w:tcPr>
          <w:p>
            <w:pPr>
              <w:spacing w:after="36" w:before="36"/>
            </w:pPr>
            <w:r>
              <w:rPr>
                <w:rFonts w:ascii="Noto Sans CJK SC" w:hAnsi="Noto Sans CJK SC" w:eastAsia="Noto Sans CJK SC"/>
                <w:b w:val="0"/>
                <w:sz w:val="15"/>
              </w:rPr>
              <w:t>长期一致性、去重</w:t>
            </w:r>
          </w:p>
        </w:tc>
      </w:tr>
      <w:tr>
        <w:trPr>
          <w:cantSplit/>
        </w:trPr>
        <w:tc>
          <w:tcPr>
            <w:tcW w:type="dxa" w:w="3296"/>
            <w:vAlign w:val="center"/>
          </w:tcPr>
          <w:p>
            <w:pPr>
              <w:spacing w:after="36" w:before="36"/>
            </w:pPr>
            <w:r>
              <w:rPr>
                <w:rFonts w:ascii="Noto Sans CJK SC" w:hAnsi="Noto Sans CJK SC" w:eastAsia="Noto Sans CJK SC"/>
                <w:b w:val="0"/>
                <w:sz w:val="15"/>
              </w:rPr>
              <w:t>Events / Alerts</w:t>
            </w:r>
          </w:p>
        </w:tc>
        <w:tc>
          <w:tcPr>
            <w:tcW w:type="dxa" w:w="3296"/>
            <w:vAlign w:val="center"/>
          </w:tcPr>
          <w:p>
            <w:pPr>
              <w:spacing w:after="36" w:before="36"/>
            </w:pPr>
            <w:r>
              <w:rPr>
                <w:rFonts w:ascii="Noto Sans CJK SC" w:hAnsi="Noto Sans CJK SC" w:eastAsia="Noto Sans CJK SC"/>
                <w:b w:val="0"/>
                <w:sz w:val="15"/>
              </w:rPr>
              <w:t>设备事件、Incident、规则版本与审计</w:t>
            </w:r>
          </w:p>
        </w:tc>
        <w:tc>
          <w:tcPr>
            <w:tcW w:type="dxa" w:w="3296"/>
            <w:vAlign w:val="center"/>
          </w:tcPr>
          <w:p>
            <w:pPr>
              <w:spacing w:after="36" w:before="36"/>
            </w:pPr>
            <w:r>
              <w:rPr>
                <w:rFonts w:ascii="Noto Sans CJK SC" w:hAnsi="Noto Sans CJK SC" w:eastAsia="Noto Sans CJK SC"/>
                <w:b w:val="0"/>
                <w:sz w:val="15"/>
              </w:rPr>
              <w:t>不因插件卸载失效</w:t>
            </w:r>
          </w:p>
        </w:tc>
      </w:tr>
      <w:tr>
        <w:trPr>
          <w:cantSplit/>
        </w:trPr>
        <w:tc>
          <w:tcPr>
            <w:tcW w:type="dxa" w:w="3296"/>
            <w:vAlign w:val="center"/>
          </w:tcPr>
          <w:p>
            <w:pPr>
              <w:spacing w:after="36" w:before="36"/>
            </w:pPr>
            <w:r>
              <w:rPr>
                <w:rFonts w:ascii="Noto Sans CJK SC" w:hAnsi="Noto Sans CJK SC" w:eastAsia="Noto Sans CJK SC"/>
                <w:b w:val="0"/>
                <w:sz w:val="15"/>
              </w:rPr>
              <w:t>Diagnostics</w:t>
            </w:r>
          </w:p>
        </w:tc>
        <w:tc>
          <w:tcPr>
            <w:tcW w:type="dxa" w:w="3296"/>
            <w:vAlign w:val="center"/>
          </w:tcPr>
          <w:p>
            <w:pPr>
              <w:spacing w:after="36" w:before="36"/>
            </w:pPr>
            <w:r>
              <w:rPr>
                <w:rFonts w:ascii="Noto Sans CJK SC" w:hAnsi="Noto Sans CJK SC" w:eastAsia="Noto Sans CJK SC"/>
                <w:b w:val="0"/>
                <w:sz w:val="15"/>
              </w:rPr>
              <w:t>按需临时连接详情</w:t>
            </w:r>
          </w:p>
        </w:tc>
        <w:tc>
          <w:tcPr>
            <w:tcW w:type="dxa" w:w="3296"/>
            <w:vAlign w:val="center"/>
          </w:tcPr>
          <w:p>
            <w:pPr>
              <w:spacing w:after="36" w:before="36"/>
            </w:pPr>
            <w:r>
              <w:rPr>
                <w:rFonts w:ascii="Noto Sans CJK SC" w:hAnsi="Noto Sans CJK SC" w:eastAsia="Noto Sans CJK SC"/>
                <w:b w:val="0"/>
                <w:sz w:val="15"/>
              </w:rPr>
              <w:t>单独配额、TTL、敏感权限</w:t>
            </w:r>
          </w:p>
        </w:tc>
      </w:tr>
    </w:tbl>
    <w:p>
      <w:pPr>
        <w:pStyle w:val="Heading1"/>
      </w:pPr>
      <w:r>
        <w:rPr>
          <w:rFonts w:ascii="Noto Sans CJK SC" w:hAnsi="Noto Sans CJK SC" w:eastAsia="Noto Sans CJK SC"/>
          <w:b w:val="0"/>
          <w:sz w:val="26"/>
        </w:rPr>
        <w:t>可配置保留架构</w:t>
      </w:r>
    </w:p>
    <w:p>
      <w:pPr/>
      <w:r>
        <w:rPr>
          <w:rFonts w:ascii="Noto Sans CJK SC" w:hAnsi="Noto Sans CJK SC" w:eastAsia="Noto Sans CJK SC"/>
          <w:b w:val="0"/>
          <w:sz w:val="18"/>
        </w:rPr>
        <w:t>采样频率和上报频率属于 Collector/Agent；存储粒度、保留期限和硬配额属于存储策略。用户可以分别设置原始、分钟、小时、日级数据的生命周期。保留策略与当前数据库可用粒度、存储容量相互校验。</w:t>
      </w:r>
    </w:p>
    <w:p>
      <w:pPr>
        <w:pStyle w:val="Heading1"/>
      </w:pPr>
      <w:r>
        <w:rPr>
          <w:rFonts w:ascii="Noto Sans CJK SC" w:hAnsi="Noto Sans CJK SC" w:eastAsia="Noto Sans CJK SC"/>
          <w:b w:val="0"/>
          <w:sz w:val="26"/>
        </w:rPr>
        <w:t>配额清理策略（已确认）</w:t>
      </w:r>
    </w:p>
    <w:p>
      <w:pPr/>
      <w:r>
        <w:rPr>
          <w:rFonts w:ascii="Noto Sans CJK SC" w:hAnsi="Noto Sans CJK SC" w:eastAsia="Noto Sans CJK SC"/>
          <w:b w:val="0"/>
          <w:sz w:val="18"/>
        </w:rPr>
        <w:t>接近软配额预警，优先清理过期、低优先级原始采样；在满足用户策略的前提下尽量保留每日流量账本、关键告警及配置。接近硬配额必须限制新写入，禁止将 Alienware 系统 SSD 填满。元数据必须设置独立预留空间；重要数据也不具备无限保留特权。</w:t>
      </w:r>
    </w:p>
    <w:p>
      <w:pPr>
        <w:pStyle w:val="Heading1"/>
      </w:pPr>
      <w:r>
        <w:rPr>
          <w:rFonts w:ascii="Noto Sans CJK SC" w:hAnsi="Noto Sans CJK SC" w:eastAsia="Noto Sans CJK SC"/>
          <w:b w:val="0"/>
          <w:sz w:val="26"/>
        </w:rPr>
        <w:t>SQL 和后台任务</w:t>
      </w:r>
    </w:p>
    <w:p>
      <w:pPr/>
      <w:r>
        <w:rPr>
          <w:rFonts w:ascii="Noto Sans CJK SC" w:hAnsi="Noto Sans CJK SC" w:eastAsia="Noto Sans CJK SC"/>
          <w:b w:val="0"/>
          <w:sz w:val="18"/>
        </w:rPr>
        <w:t>使用批处理插入、适量索引、有界查询、分页和点数上限；删除数据不等同于立即回收 SQLite 文件空间，WAL Checkpoint 与空间回收安排在低负载窗口。复杂的全库 VACUUM 不得影响正常 Agent 上报。</w:t>
      </w:r>
    </w:p>
    <w:p>
      <w:pPr>
        <w:pStyle w:val="Heading1"/>
      </w:pPr>
      <w:r>
        <w:rPr>
          <w:rFonts w:ascii="Noto Sans CJK SC" w:hAnsi="Noto Sans CJK SC" w:eastAsia="Noto Sans CJK SC"/>
          <w:b w:val="0"/>
          <w:sz w:val="26"/>
        </w:rPr>
        <w:t>HDD 约束</w:t>
      </w:r>
    </w:p>
    <w:p>
      <w:pPr/>
      <w:r>
        <w:rPr>
          <w:rFonts w:ascii="Noto Sans CJK SC" w:hAnsi="Noto Sans CJK SC" w:eastAsia="Noto Sans CJK SC"/>
          <w:b w:val="0"/>
          <w:sz w:val="18"/>
        </w:rPr>
        <w:t>监控 DB 和写入工作目录放在系统 SSD，禁止周期性 SMART、磁盘遍历或其他会唤醒休眠 HDD 的任务。需要备份到 HDD 时必须由 Owner 单独审批唤醒策略。</w:t>
      </w:r>
    </w:p>
    <w:p>
      <w:pPr>
        <w:pStyle w:val="Heading1"/>
      </w:pPr>
      <w:r>
        <w:rPr>
          <w:rFonts w:ascii="Noto Sans CJK SC" w:hAnsi="Noto Sans CJK SC" w:eastAsia="Noto Sans CJK SC"/>
          <w:b w:val="0"/>
          <w:sz w:val="26"/>
        </w:rPr>
        <w:t>演进触发</w:t>
      </w:r>
    </w:p>
    <w:p>
      <w:pPr/>
      <w:r>
        <w:rPr>
          <w:rFonts w:ascii="Noto Sans CJK SC" w:hAnsi="Noto Sans CJK SC" w:eastAsia="Noto Sans CJK SC"/>
          <w:b w:val="0"/>
          <w:sz w:val="18"/>
        </w:rPr>
        <w:t>根据实际时序写入吞吐、查询 p95、保留容量和磁盘压力判断是否需要更换时序存储。必须通过 Repository/Export API 实现迁移，不让 Web Widget 直接依赖某个数据库 SQL 方言。</w:t>
      </w:r>
    </w:p>
    <w:sectPr w:rsidR="00FC693F" w:rsidRPr="0006063C" w:rsidSect="00034616">
      <w:footerReference w:type="default" r:id="rId9"/>
      <w:headerReference w:type="default" r:id="rId10"/>
      <w:pgSz w:w="12240" w:h="15840"/>
      <w:pgMar w:top="1049" w:right="1134" w:bottom="1020" w:left="1219" w:header="397"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b w:val="0"/>
        <w:color w:val="637382"/>
        <w:sz w:val="14"/>
      </w:rPr>
      <w:t>Homelab Monitor  |  Architecture Docs  |  2026-10-17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SC" w:hAnsi="Noto Sans CJK SC" w:eastAsia="Noto Sans CJK SC"/>
        <w:b/>
        <w:color w:val="406C84"/>
        <w:sz w:val="14"/>
      </w:rPr>
      <w:t>HOMELAB MONITOR  /  ARCHITECTURE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8" w:lineRule="auto"/>
    </w:pPr>
    <w:rPr>
      <w:rFonts w:ascii="Noto Sans CJK SC" w:hAnsi="Noto Sans CJK SC" w:eastAsia="Noto Sans CJK S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SC" w:hAnsi="Noto Sans CJK SC" w:eastAsia="Noto Sans CJK SC"/>
      <w:b/>
      <w:bCs/>
      <w:color w:val="183851"/>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SC" w:hAnsi="Noto Sans CJK SC" w:eastAsia="Noto Sans CJK SC"/>
      <w:b/>
      <w:bCs/>
      <w:color w:val="1838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80"/>
      <w:contextualSpacing/>
    </w:pPr>
    <w:rPr>
      <w:rFonts w:asciiTheme="majorHAnsi" w:eastAsiaTheme="majorEastAsia" w:hAnsiTheme="majorHAnsi" w:cstheme="majorBidi" w:ascii="Noto Sans CJK SC" w:hAnsi="Noto Sans CJK SC" w:eastAsia="Noto Sans CJK SC"/>
      <w:b/>
      <w:color w:val="18385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存储、分层聚合与配额架构</dc:title>
  <dc:subject>Homelab Monitor architecture planning</dc:subject>
  <dc:creator>Homelab Monitor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