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设备身份、拓扑与时间化关联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03-data/03-device-identity-and-topology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身份原则</w:t>
      </w:r>
    </w:p>
    <w:p>
      <w:pPr/>
      <w:r>
        <w:rPr>
          <w:rFonts w:ascii="Noto Sans CJK SC" w:hAnsi="Noto Sans CJK SC" w:eastAsia="Noto Sans CJK SC"/>
          <w:b w:val="0"/>
          <w:sz w:val="18"/>
        </w:rPr>
        <w:t>设备资产由内部稳定 Device ID 标识；IP、MAC、Agent ID、Tailscale Node ID 都是有来源和有效时间的 Identity Binding。不得单纯依赖同名主机或相同 IP 自动合并。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核心实体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cantSplit/>
          <w:tblHeader w:val="true"/>
        </w:trPr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实体</w:t>
            </w:r>
          </w:p>
        </w:tc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含义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Device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物理设备或明确的逻辑监控资产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IdentityBinding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设备与 IP/MAC/Tailnet/Agent 身份的时间化绑定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Interface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网络接口、AP、bridge port、隧道接口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Observation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原始采集证据、来源、时间、可信等级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TopologyEdge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两个节点之间的物理、路由或 Tailnet 关系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IdentityDecision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自动合并、Owner 确认、拆分、撤销及审计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匹配策略（已确认）</w:t>
      </w:r>
    </w:p>
    <w:p>
      <w:pPr/>
      <w:r>
        <w:rPr>
          <w:rFonts w:ascii="Noto Sans CJK SC" w:hAnsi="Noto Sans CJK SC" w:eastAsia="Noto Sans CJK SC"/>
          <w:b w:val="0"/>
          <w:sz w:val="18"/>
        </w:rPr>
        <w:t>高可信 Agent 身份、已确认稳定接口身份可自动关联；LAN/Tailnet 跨身份匹配、随机 MAC、冲突名称等必须进入 Owner 待确认队列。支持合并、拆分、撤销，并保留历史归属操作记录。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时间化归属</w:t>
      </w:r>
    </w:p>
    <w:p>
      <w:pPr/>
      <w:r>
        <w:rPr>
          <w:rFonts w:ascii="Noto Sans CJK SC" w:hAnsi="Noto Sans CJK SC" w:eastAsia="Noto Sans CJK SC"/>
          <w:b w:val="0"/>
          <w:sz w:val="18"/>
        </w:rPr>
        <w:t>一段网络流量按其发生时刻关联有效 IdentityBinding，而非使用今天的 IP 反推一年前的所有流量。若原始细粒度证据已清理，只剩汇总且无法可靠重分配，则维持 Unknown/Unresolved 标记。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三类拓扑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物理/接入：Newifi LAN1→Alienware、LAN3→N1 已验证；Wi-Fi Station 仅表示关联历史快照。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路由/出口：DHCP IPv4 网关可能指向 N1；同子网通信、IPv6 和 NAT 会改变实际数据路径，需证据区分。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Tailnet：Node、Peer、Exit Node 与 Direct/DERP/Peer Relay；Tailscale Direct 不等同于 sing-box Direct。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状态判断</w:t>
      </w:r>
    </w:p>
    <w:p>
      <w:pPr/>
      <w:r>
        <w:rPr>
          <w:rFonts w:ascii="Noto Sans CJK SC" w:hAnsi="Noto Sans CJK SC" w:eastAsia="Noto Sans CJK SC"/>
          <w:b w:val="0"/>
          <w:sz w:val="18"/>
        </w:rPr>
        <w:t>设备在网状态与监控采集状态独立。DHCP 租约、STALE neighbor、FDB 存在和 Tailscale idle 不足以认定在线/离线。默认被动发现，Owner 可对单设备发起限时、有界主动诊断。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UI 与性能</w:t>
      </w:r>
    </w:p>
    <w:p>
      <w:pPr/>
      <w:r>
        <w:rPr>
          <w:rFonts w:ascii="Noto Sans CJK SC" w:hAnsi="Noto Sans CJK SC" w:eastAsia="Noto Sans CJK SC"/>
          <w:b w:val="0"/>
          <w:sz w:val="18"/>
        </w:rPr>
        <w:t>Devices 支持按名称、IP、MAC、Node、设备类型、采集质量筛选；拓扑连线显示来源与观测时间。拓扑查询复用已有采集快照，不默认全网扫描。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设备身份、拓扑与时间化关联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