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全网流量归属、方向与去重架构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03-data/04-network-flow-attribution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统计范围（已确认）</w:t>
      </w:r>
    </w:p>
    <w:p>
      <w:pPr/>
      <w:r>
        <w:rPr>
          <w:rFonts w:ascii="Noto Sans CJK SC" w:hAnsi="Noto Sans CJK SC" w:eastAsia="Noto Sans CJK SC"/>
          <w:b w:val="0"/>
          <w:sz w:val="18"/>
        </w:rPr>
        <w:t>所有 LAN 有线/无线终端、Tailscale 远程客户端及 N1 Exit Node；每设备区分上传/下载，并尽量解释 Proxy、sing-box Direct、Bypass 和 Unknown。连接详情默认不长期记录，仅 Owner 启用短时诊断。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多观测点与计数域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来源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可靠可见内容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不可直接推出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lan1/lan3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两条物理链路累计收发字节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具体终端互联网用量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Wi-Fi Station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 与客户端无线收发、信号、重传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仅外网流量、Proxy/Direct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wan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路由器 WAN 总流量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源终端身份或代理分类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eth0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网口字节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终端去重后的外网消费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singtun0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TUN 可见流量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内核 Bypass 的完整流量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tailscale0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隧道接口字节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 Peer Exit Node 外网用量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sing-box route/outbound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Direct/VLESS 路由动作或有效计数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 API 时精确每设备字节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Conntrack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已启用 Accounting；存在计数条件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NAT、offload、旁路等路径的全覆盖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方向口径</w:t>
      </w:r>
    </w:p>
    <w:p>
      <w:pPr/>
      <w:r>
        <w:rPr>
          <w:rFonts w:ascii="Noto Sans CJK SC" w:hAnsi="Noto Sans CJK SC" w:eastAsia="Noto Sans CJK SC"/>
          <w:b w:val="0"/>
          <w:sz w:val="18"/>
        </w:rPr>
        <w:t>无线 AP 视角 RX 为客户端发送（客户端上传）；AP TX 为发向客户端（客户端下载）。Server 需在统一 Metric Scope 中保存观察方向及终端相对方向，防止混用。设备互联网用量与 LAN 内部传输要分开，Tailnet Peer 传输和 Exit Node 转发不能混算。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初步归属算法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在有可靠来源身份与网络路径的计数域中记录字节差值。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关联事件发生时有效的 Device ID，保留 IP/MAC/Node 与 NAT 前后的证据。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根据观测层定义“物理链路字节”“隧道传输字节”“逻辑出口字节”“设备用量账本”不同指标系列。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跨层重复测量不得简单相加；同流量若被多个位置计数，只有经明确去重规则后才能进入设备账本。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分流类别证据不充分时标记 Unknown；无采集覆盖时标记 Partial/Missing，不填零。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IPv6 与旁路限制</w:t>
      </w:r>
    </w:p>
    <w:p>
      <w:pPr/>
      <w:r>
        <w:rPr>
          <w:rFonts w:ascii="Noto Sans CJK SC" w:hAnsi="Noto Sans CJK SC" w:eastAsia="Noto Sans CJK SC"/>
          <w:b w:val="0"/>
          <w:sz w:val="18"/>
        </w:rPr>
        <w:t>此前已观察到部分终端 IPv6 可通过 Newifi RA 直连，不一定经过 N1；局域网同二层通信可能不经过 N1。N1 的 sing-box 现有 3 条 bypass、5 条 direct、2 条 vless，默认 vless；绕过流量不能单靠 TUN 计数获知。对未覆盖路径不得承诺全网 100% 代理准确率。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Exit Node 特殊身份</w:t>
      </w:r>
    </w:p>
    <w:p>
      <w:pPr/>
      <w:r>
        <w:rPr>
          <w:rFonts w:ascii="Noto Sans CJK SC" w:hAnsi="Noto Sans CJK SC" w:eastAsia="Noto Sans CJK SC"/>
          <w:b w:val="0"/>
          <w:sz w:val="18"/>
        </w:rPr>
        <w:t xml:space="preserve">远程客户端通过 Tailnet 到 N1 的数据必须在 NAT/转发前尽可能保留原始 Peer/源地址；Tailscale Direct/DERP 是隧道通信路径，不能直接解释为代理直连。需要独立验证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tailscale0</w:t>
      </w:r>
      <w:r>
        <w:rPr>
          <w:rFonts w:ascii="Noto Sans CJK SC" w:hAnsi="Noto Sans CJK SC" w:eastAsia="Noto Sans CJK SC"/>
          <w:b w:val="0"/>
          <w:sz w:val="18"/>
        </w:rPr>
        <w:t>、conntrack 与出口间的计量关联。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保护措施</w:t>
      </w:r>
    </w:p>
    <w:p>
      <w:pPr/>
      <w:r>
        <w:rPr>
          <w:rFonts w:ascii="Noto Sans CJK SC" w:hAnsi="Noto Sans CJK SC" w:eastAsia="Noto Sans CJK SC"/>
          <w:b w:val="0"/>
          <w:sz w:val="18"/>
        </w:rPr>
        <w:t>默认不安装新的全流量抓包、Netfilter 规则或 eBPF 程序；如确需新的计量点，必须独立评估 CPU、流量转发时延、offload 兼容及撤销方案，并获得 Owner 单独批准。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79" w:right="1134" w:bottom="85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57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全网流量归属、方向与去重架构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